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49459E" w:rsidRDefault="0042078E">
      <w:pPr>
        <w:rPr>
          <w:rFonts w:ascii="Arial" w:hAnsi="Arial" w:cs="Arial"/>
          <w:b/>
          <w:sz w:val="28"/>
          <w:szCs w:val="28"/>
        </w:rPr>
      </w:pPr>
      <w:r w:rsidRPr="0042078E">
        <w:rPr>
          <w:rFonts w:ascii="Arial" w:hAnsi="Arial" w:cs="Arial"/>
          <w:b/>
          <w:sz w:val="28"/>
          <w:szCs w:val="28"/>
        </w:rPr>
        <w:t>AP</w:t>
      </w:r>
      <w:r>
        <w:rPr>
          <w:rFonts w:ascii="Arial" w:hAnsi="Arial" w:cs="Arial"/>
          <w:b/>
          <w:sz w:val="28"/>
          <w:szCs w:val="28"/>
        </w:rPr>
        <w:t>P</w:t>
      </w:r>
      <w:r w:rsidR="00A927FB">
        <w:rPr>
          <w:rFonts w:ascii="Arial" w:hAnsi="Arial" w:cs="Arial"/>
          <w:b/>
          <w:sz w:val="28"/>
          <w:szCs w:val="28"/>
        </w:rPr>
        <w:t>ENDIX 5</w:t>
      </w:r>
    </w:p>
    <w:p w:rsidR="0042078E" w:rsidRDefault="00A30E2F">
      <w:pPr>
        <w:rPr>
          <w:rFonts w:ascii="Arial" w:hAnsi="Arial" w:cs="Arial"/>
          <w:b/>
          <w:sz w:val="28"/>
          <w:szCs w:val="28"/>
        </w:rPr>
      </w:pPr>
      <w:r>
        <w:rPr>
          <w:rFonts w:ascii="Arial" w:hAnsi="Arial" w:cs="Arial"/>
          <w:b/>
          <w:sz w:val="28"/>
          <w:szCs w:val="28"/>
        </w:rPr>
        <w:t xml:space="preserve">High Risk and </w:t>
      </w:r>
      <w:r w:rsidR="006D05D2">
        <w:rPr>
          <w:rFonts w:ascii="Arial" w:hAnsi="Arial" w:cs="Arial"/>
          <w:b/>
          <w:sz w:val="28"/>
          <w:szCs w:val="28"/>
        </w:rPr>
        <w:t>Unsafe Practices</w:t>
      </w:r>
    </w:p>
    <w:p w:rsidR="000B5E28" w:rsidRPr="000B5E28" w:rsidRDefault="000B5E28">
      <w:pPr>
        <w:rPr>
          <w:rFonts w:ascii="Arial" w:hAnsi="Arial" w:cs="Arial"/>
          <w:sz w:val="24"/>
          <w:szCs w:val="24"/>
        </w:rPr>
      </w:pPr>
      <w:r w:rsidRPr="000B5E28">
        <w:rPr>
          <w:rFonts w:ascii="Arial" w:hAnsi="Arial" w:cs="Arial"/>
          <w:sz w:val="24"/>
          <w:szCs w:val="24"/>
        </w:rPr>
        <w:t xml:space="preserve">Staff must use their professional knowledge and judgement to assess the situation and make a balanced decision </w:t>
      </w:r>
      <w:proofErr w:type="gramStart"/>
      <w:r w:rsidRPr="000B5E28">
        <w:rPr>
          <w:rFonts w:ascii="Arial" w:hAnsi="Arial" w:cs="Arial"/>
          <w:sz w:val="24"/>
          <w:szCs w:val="24"/>
        </w:rPr>
        <w:t>taking into account</w:t>
      </w:r>
      <w:proofErr w:type="gramEnd"/>
      <w:r w:rsidRPr="000B5E28">
        <w:rPr>
          <w:rFonts w:ascii="Arial" w:hAnsi="Arial" w:cs="Arial"/>
          <w:sz w:val="24"/>
          <w:szCs w:val="24"/>
        </w:rPr>
        <w:t xml:space="preserve"> the best interest of the patient and their own health and safety</w:t>
      </w:r>
      <w:r>
        <w:rPr>
          <w:rFonts w:ascii="Arial" w:hAnsi="Arial" w:cs="Arial"/>
          <w:sz w:val="24"/>
          <w:szCs w:val="24"/>
        </w:rPr>
        <w:t>.</w:t>
      </w:r>
    </w:p>
    <w:p w:rsidR="0042078E" w:rsidRDefault="0042078E">
      <w:pPr>
        <w:rPr>
          <w:rFonts w:ascii="Arial" w:hAnsi="Arial" w:cs="Arial"/>
          <w:sz w:val="24"/>
          <w:szCs w:val="24"/>
        </w:rPr>
      </w:pPr>
      <w:r>
        <w:rPr>
          <w:rFonts w:ascii="Arial" w:hAnsi="Arial" w:cs="Arial"/>
          <w:sz w:val="24"/>
          <w:szCs w:val="24"/>
        </w:rPr>
        <w:t>All activities that involve assisting a patient to move, must be documented on the Personal Handling Risk Assessment and Plan.</w:t>
      </w:r>
    </w:p>
    <w:p w:rsidR="0042078E" w:rsidRDefault="0042078E">
      <w:pPr>
        <w:rPr>
          <w:rFonts w:ascii="Arial" w:hAnsi="Arial" w:cs="Arial"/>
          <w:sz w:val="24"/>
          <w:szCs w:val="24"/>
        </w:rPr>
      </w:pPr>
      <w:r>
        <w:rPr>
          <w:rFonts w:ascii="Arial" w:hAnsi="Arial" w:cs="Arial"/>
          <w:sz w:val="24"/>
          <w:szCs w:val="24"/>
        </w:rPr>
        <w:t>There are a number of patient manual handling techniques which are known to be associated with far higher risk of injury, either to the staff or patients. Many of these techniques cause pain, discomfort and injury to the patients, increasing the risk of sheer and friction damage, and often limit the active participation by the patient.</w:t>
      </w:r>
    </w:p>
    <w:p w:rsidR="0042078E" w:rsidRDefault="0042078E">
      <w:pPr>
        <w:rPr>
          <w:rFonts w:ascii="Arial" w:hAnsi="Arial" w:cs="Arial"/>
          <w:sz w:val="24"/>
          <w:szCs w:val="24"/>
        </w:rPr>
      </w:pPr>
      <w:r>
        <w:rPr>
          <w:rFonts w:ascii="Arial" w:hAnsi="Arial" w:cs="Arial"/>
          <w:sz w:val="24"/>
          <w:szCs w:val="24"/>
        </w:rPr>
        <w:t xml:space="preserve">Guidance issued by the Royal College of nursing, </w:t>
      </w:r>
      <w:r w:rsidR="001234BA">
        <w:rPr>
          <w:rFonts w:ascii="Arial" w:hAnsi="Arial" w:cs="Arial"/>
          <w:sz w:val="24"/>
          <w:szCs w:val="24"/>
        </w:rPr>
        <w:t>National Back Exchange</w:t>
      </w:r>
      <w:r>
        <w:rPr>
          <w:rFonts w:ascii="Arial" w:hAnsi="Arial" w:cs="Arial"/>
          <w:sz w:val="24"/>
          <w:szCs w:val="24"/>
        </w:rPr>
        <w:t>, Chartered Society of Physio</w:t>
      </w:r>
      <w:r w:rsidR="000B5E28">
        <w:rPr>
          <w:rFonts w:ascii="Arial" w:hAnsi="Arial" w:cs="Arial"/>
          <w:sz w:val="24"/>
          <w:szCs w:val="24"/>
        </w:rPr>
        <w:t>therapists, and the College of Occupational T</w:t>
      </w:r>
      <w:r>
        <w:rPr>
          <w:rFonts w:ascii="Arial" w:hAnsi="Arial" w:cs="Arial"/>
          <w:sz w:val="24"/>
          <w:szCs w:val="24"/>
        </w:rPr>
        <w:t>herapists  indicates that the following techniques should be avoided as far</w:t>
      </w:r>
      <w:r w:rsidR="000B5E28">
        <w:rPr>
          <w:rFonts w:ascii="Arial" w:hAnsi="Arial" w:cs="Arial"/>
          <w:sz w:val="24"/>
          <w:szCs w:val="24"/>
        </w:rPr>
        <w:t xml:space="preserve"> as possible. They must not be used as common practice, but in </w:t>
      </w:r>
      <w:r w:rsidR="000B5E28" w:rsidRPr="000B5E28">
        <w:rPr>
          <w:rFonts w:ascii="Arial" w:hAnsi="Arial" w:cs="Arial"/>
          <w:i/>
          <w:sz w:val="24"/>
          <w:szCs w:val="24"/>
        </w:rPr>
        <w:t>exceptional circumstances</w:t>
      </w:r>
      <w:r w:rsidR="000B5E28">
        <w:rPr>
          <w:rFonts w:ascii="Arial" w:hAnsi="Arial" w:cs="Arial"/>
          <w:sz w:val="24"/>
          <w:szCs w:val="24"/>
        </w:rPr>
        <w:t xml:space="preserve"> in </w:t>
      </w:r>
      <w:r w:rsidR="000B5E28" w:rsidRPr="000B5E28">
        <w:rPr>
          <w:rFonts w:ascii="Arial" w:hAnsi="Arial" w:cs="Arial"/>
          <w:i/>
          <w:sz w:val="24"/>
          <w:szCs w:val="24"/>
        </w:rPr>
        <w:t>emergency situations</w:t>
      </w:r>
      <w:r w:rsidR="000B5E28">
        <w:rPr>
          <w:rFonts w:ascii="Arial" w:hAnsi="Arial" w:cs="Arial"/>
          <w:sz w:val="24"/>
          <w:szCs w:val="24"/>
        </w:rPr>
        <w:t xml:space="preserve"> be the only option available. Any staff member using these techniques may be subject to disciplinary action</w:t>
      </w:r>
    </w:p>
    <w:p w:rsidR="0042078E" w:rsidRDefault="0042078E" w:rsidP="0042078E">
      <w:pPr>
        <w:pStyle w:val="ListParagraph"/>
        <w:numPr>
          <w:ilvl w:val="0"/>
          <w:numId w:val="1"/>
        </w:numPr>
        <w:rPr>
          <w:rFonts w:ascii="Arial" w:hAnsi="Arial" w:cs="Arial"/>
          <w:sz w:val="24"/>
          <w:szCs w:val="24"/>
        </w:rPr>
      </w:pPr>
      <w:r>
        <w:rPr>
          <w:rFonts w:ascii="Arial" w:hAnsi="Arial" w:cs="Arial"/>
          <w:sz w:val="24"/>
          <w:szCs w:val="24"/>
        </w:rPr>
        <w:t>FULL WEIGHT LIFTS</w:t>
      </w:r>
    </w:p>
    <w:p w:rsidR="0042078E" w:rsidRDefault="0042078E" w:rsidP="0042078E">
      <w:pPr>
        <w:pStyle w:val="ListParagraph"/>
        <w:numPr>
          <w:ilvl w:val="1"/>
          <w:numId w:val="1"/>
        </w:numPr>
        <w:rPr>
          <w:rFonts w:ascii="Arial" w:hAnsi="Arial" w:cs="Arial"/>
          <w:sz w:val="24"/>
          <w:szCs w:val="24"/>
        </w:rPr>
      </w:pPr>
      <w:r>
        <w:rPr>
          <w:rFonts w:ascii="Arial" w:hAnsi="Arial" w:cs="Arial"/>
          <w:sz w:val="24"/>
          <w:szCs w:val="24"/>
        </w:rPr>
        <w:t>Top and tail lift</w:t>
      </w:r>
    </w:p>
    <w:p w:rsidR="0042078E" w:rsidRDefault="0042078E" w:rsidP="0042078E">
      <w:pPr>
        <w:pStyle w:val="ListParagraph"/>
        <w:numPr>
          <w:ilvl w:val="1"/>
          <w:numId w:val="1"/>
        </w:numPr>
        <w:rPr>
          <w:rFonts w:ascii="Arial" w:hAnsi="Arial" w:cs="Arial"/>
          <w:sz w:val="24"/>
          <w:szCs w:val="24"/>
        </w:rPr>
      </w:pPr>
      <w:r>
        <w:rPr>
          <w:rFonts w:ascii="Arial" w:hAnsi="Arial" w:cs="Arial"/>
          <w:sz w:val="24"/>
          <w:szCs w:val="24"/>
        </w:rPr>
        <w:t>Arm and leg or hammock lift</w:t>
      </w:r>
    </w:p>
    <w:p w:rsidR="0042078E" w:rsidRDefault="0042078E" w:rsidP="0042078E">
      <w:pPr>
        <w:pStyle w:val="ListParagraph"/>
        <w:numPr>
          <w:ilvl w:val="1"/>
          <w:numId w:val="1"/>
        </w:numPr>
        <w:rPr>
          <w:rFonts w:ascii="Arial" w:hAnsi="Arial" w:cs="Arial"/>
          <w:sz w:val="24"/>
          <w:szCs w:val="24"/>
        </w:rPr>
      </w:pPr>
      <w:r>
        <w:rPr>
          <w:rFonts w:ascii="Arial" w:hAnsi="Arial" w:cs="Arial"/>
          <w:sz w:val="24"/>
          <w:szCs w:val="24"/>
        </w:rPr>
        <w:t>Poles and canvas lift</w:t>
      </w:r>
    </w:p>
    <w:p w:rsidR="0042078E" w:rsidRDefault="0042078E" w:rsidP="0042078E">
      <w:pPr>
        <w:pStyle w:val="ListParagraph"/>
        <w:numPr>
          <w:ilvl w:val="1"/>
          <w:numId w:val="1"/>
        </w:numPr>
        <w:rPr>
          <w:rFonts w:ascii="Arial" w:hAnsi="Arial" w:cs="Arial"/>
          <w:sz w:val="24"/>
          <w:szCs w:val="24"/>
        </w:rPr>
      </w:pPr>
      <w:r>
        <w:rPr>
          <w:rFonts w:ascii="Arial" w:hAnsi="Arial" w:cs="Arial"/>
          <w:sz w:val="24"/>
          <w:szCs w:val="24"/>
        </w:rPr>
        <w:t>Australian or shoulder lift</w:t>
      </w:r>
    </w:p>
    <w:p w:rsidR="0042078E" w:rsidRDefault="0042078E" w:rsidP="0042078E">
      <w:pPr>
        <w:pStyle w:val="ListParagraph"/>
        <w:numPr>
          <w:ilvl w:val="1"/>
          <w:numId w:val="1"/>
        </w:numPr>
        <w:rPr>
          <w:rFonts w:ascii="Arial" w:hAnsi="Arial" w:cs="Arial"/>
          <w:sz w:val="24"/>
          <w:szCs w:val="24"/>
        </w:rPr>
      </w:pPr>
      <w:r>
        <w:rPr>
          <w:rFonts w:ascii="Arial" w:hAnsi="Arial" w:cs="Arial"/>
          <w:sz w:val="24"/>
          <w:szCs w:val="24"/>
        </w:rPr>
        <w:t>Orthodox lift</w:t>
      </w:r>
    </w:p>
    <w:p w:rsidR="0042078E" w:rsidRDefault="0042078E" w:rsidP="0042078E">
      <w:pPr>
        <w:pStyle w:val="ListParagraph"/>
        <w:numPr>
          <w:ilvl w:val="0"/>
          <w:numId w:val="1"/>
        </w:numPr>
        <w:rPr>
          <w:rFonts w:ascii="Arial" w:hAnsi="Arial" w:cs="Arial"/>
          <w:sz w:val="24"/>
          <w:szCs w:val="24"/>
        </w:rPr>
      </w:pPr>
      <w:r>
        <w:rPr>
          <w:rFonts w:ascii="Arial" w:hAnsi="Arial" w:cs="Arial"/>
          <w:sz w:val="24"/>
          <w:szCs w:val="24"/>
        </w:rPr>
        <w:t>Activities taking most of the patient’s weight</w:t>
      </w:r>
    </w:p>
    <w:p w:rsidR="0042078E" w:rsidRDefault="0042078E" w:rsidP="0042078E">
      <w:pPr>
        <w:pStyle w:val="ListParagraph"/>
        <w:numPr>
          <w:ilvl w:val="1"/>
          <w:numId w:val="1"/>
        </w:numPr>
        <w:rPr>
          <w:rFonts w:ascii="Arial" w:hAnsi="Arial" w:cs="Arial"/>
          <w:sz w:val="24"/>
          <w:szCs w:val="24"/>
        </w:rPr>
      </w:pPr>
      <w:r>
        <w:rPr>
          <w:rFonts w:ascii="Arial" w:hAnsi="Arial" w:cs="Arial"/>
          <w:sz w:val="24"/>
          <w:szCs w:val="24"/>
        </w:rPr>
        <w:t>Drag lift</w:t>
      </w:r>
    </w:p>
    <w:p w:rsidR="0042078E" w:rsidRDefault="0042078E" w:rsidP="0042078E">
      <w:pPr>
        <w:pStyle w:val="ListParagraph"/>
        <w:numPr>
          <w:ilvl w:val="1"/>
          <w:numId w:val="1"/>
        </w:numPr>
        <w:rPr>
          <w:rFonts w:ascii="Arial" w:hAnsi="Arial" w:cs="Arial"/>
          <w:sz w:val="24"/>
          <w:szCs w:val="24"/>
        </w:rPr>
      </w:pPr>
      <w:r>
        <w:rPr>
          <w:rFonts w:ascii="Arial" w:hAnsi="Arial" w:cs="Arial"/>
          <w:sz w:val="24"/>
          <w:szCs w:val="24"/>
        </w:rPr>
        <w:t>Through arm lift</w:t>
      </w:r>
    </w:p>
    <w:p w:rsidR="0042078E" w:rsidRDefault="0042078E" w:rsidP="0042078E">
      <w:pPr>
        <w:pStyle w:val="ListParagraph"/>
        <w:numPr>
          <w:ilvl w:val="1"/>
          <w:numId w:val="1"/>
        </w:numPr>
        <w:rPr>
          <w:rFonts w:ascii="Arial" w:hAnsi="Arial" w:cs="Arial"/>
          <w:sz w:val="24"/>
          <w:szCs w:val="24"/>
        </w:rPr>
      </w:pPr>
      <w:r>
        <w:rPr>
          <w:rFonts w:ascii="Arial" w:hAnsi="Arial" w:cs="Arial"/>
          <w:sz w:val="24"/>
          <w:szCs w:val="24"/>
        </w:rPr>
        <w:t>Linking arms when walking</w:t>
      </w:r>
    </w:p>
    <w:p w:rsidR="0042078E" w:rsidRDefault="0042078E" w:rsidP="0042078E">
      <w:pPr>
        <w:pStyle w:val="ListParagraph"/>
        <w:numPr>
          <w:ilvl w:val="0"/>
          <w:numId w:val="1"/>
        </w:numPr>
        <w:rPr>
          <w:rFonts w:ascii="Arial" w:hAnsi="Arial" w:cs="Arial"/>
          <w:sz w:val="24"/>
          <w:szCs w:val="24"/>
        </w:rPr>
      </w:pPr>
      <w:r>
        <w:rPr>
          <w:rFonts w:ascii="Arial" w:hAnsi="Arial" w:cs="Arial"/>
          <w:sz w:val="24"/>
          <w:szCs w:val="24"/>
        </w:rPr>
        <w:t>Front assisted transfers</w:t>
      </w:r>
    </w:p>
    <w:p w:rsidR="0042078E" w:rsidRDefault="0042078E" w:rsidP="0042078E">
      <w:pPr>
        <w:pStyle w:val="ListParagraph"/>
        <w:numPr>
          <w:ilvl w:val="1"/>
          <w:numId w:val="1"/>
        </w:numPr>
        <w:rPr>
          <w:rFonts w:ascii="Arial" w:hAnsi="Arial" w:cs="Arial"/>
          <w:sz w:val="24"/>
          <w:szCs w:val="24"/>
        </w:rPr>
      </w:pPr>
      <w:r>
        <w:rPr>
          <w:rFonts w:ascii="Arial" w:hAnsi="Arial" w:cs="Arial"/>
          <w:sz w:val="24"/>
          <w:szCs w:val="24"/>
        </w:rPr>
        <w:t>Bear hug</w:t>
      </w:r>
    </w:p>
    <w:p w:rsidR="0042078E" w:rsidRDefault="0042078E" w:rsidP="0042078E">
      <w:pPr>
        <w:pStyle w:val="ListParagraph"/>
        <w:numPr>
          <w:ilvl w:val="1"/>
          <w:numId w:val="1"/>
        </w:numPr>
        <w:rPr>
          <w:rFonts w:ascii="Arial" w:hAnsi="Arial" w:cs="Arial"/>
          <w:sz w:val="24"/>
          <w:szCs w:val="24"/>
        </w:rPr>
      </w:pPr>
      <w:r>
        <w:rPr>
          <w:rFonts w:ascii="Arial" w:hAnsi="Arial" w:cs="Arial"/>
          <w:sz w:val="24"/>
          <w:szCs w:val="24"/>
        </w:rPr>
        <w:t>Clinging ivy</w:t>
      </w:r>
    </w:p>
    <w:p w:rsidR="00183B5B" w:rsidRDefault="00183B5B" w:rsidP="0042078E">
      <w:pPr>
        <w:pStyle w:val="ListParagraph"/>
        <w:numPr>
          <w:ilvl w:val="1"/>
          <w:numId w:val="1"/>
        </w:numPr>
        <w:rPr>
          <w:rFonts w:ascii="Arial" w:hAnsi="Arial" w:cs="Arial"/>
          <w:sz w:val="24"/>
          <w:szCs w:val="24"/>
        </w:rPr>
      </w:pPr>
      <w:r>
        <w:rPr>
          <w:rFonts w:ascii="Arial" w:hAnsi="Arial" w:cs="Arial"/>
          <w:sz w:val="24"/>
          <w:szCs w:val="24"/>
        </w:rPr>
        <w:t>Pivot transfer</w:t>
      </w:r>
    </w:p>
    <w:p w:rsidR="00183B5B" w:rsidRDefault="00183B5B" w:rsidP="0042078E">
      <w:pPr>
        <w:pStyle w:val="ListParagraph"/>
        <w:numPr>
          <w:ilvl w:val="1"/>
          <w:numId w:val="1"/>
        </w:numPr>
        <w:rPr>
          <w:rFonts w:ascii="Arial" w:hAnsi="Arial" w:cs="Arial"/>
          <w:sz w:val="24"/>
          <w:szCs w:val="24"/>
        </w:rPr>
      </w:pPr>
      <w:r>
        <w:rPr>
          <w:rFonts w:ascii="Arial" w:hAnsi="Arial" w:cs="Arial"/>
          <w:sz w:val="24"/>
          <w:szCs w:val="24"/>
        </w:rPr>
        <w:t>Hand drag</w:t>
      </w:r>
    </w:p>
    <w:p w:rsidR="00183B5B" w:rsidRDefault="00183B5B" w:rsidP="0042078E">
      <w:pPr>
        <w:pStyle w:val="ListParagraph"/>
        <w:numPr>
          <w:ilvl w:val="1"/>
          <w:numId w:val="1"/>
        </w:numPr>
        <w:rPr>
          <w:rFonts w:ascii="Arial" w:hAnsi="Arial" w:cs="Arial"/>
          <w:sz w:val="24"/>
          <w:szCs w:val="24"/>
        </w:rPr>
      </w:pPr>
      <w:r>
        <w:rPr>
          <w:rFonts w:ascii="Arial" w:hAnsi="Arial" w:cs="Arial"/>
          <w:sz w:val="24"/>
          <w:szCs w:val="24"/>
        </w:rPr>
        <w:t>Use of lifting belts</w:t>
      </w:r>
    </w:p>
    <w:p w:rsidR="00183B5B" w:rsidRDefault="00183B5B" w:rsidP="0042078E">
      <w:pPr>
        <w:pStyle w:val="ListParagraph"/>
        <w:numPr>
          <w:ilvl w:val="1"/>
          <w:numId w:val="1"/>
        </w:numPr>
        <w:rPr>
          <w:rFonts w:ascii="Arial" w:hAnsi="Arial" w:cs="Arial"/>
          <w:sz w:val="24"/>
          <w:szCs w:val="24"/>
        </w:rPr>
      </w:pPr>
      <w:r>
        <w:rPr>
          <w:rFonts w:ascii="Arial" w:hAnsi="Arial" w:cs="Arial"/>
          <w:sz w:val="24"/>
          <w:szCs w:val="24"/>
        </w:rPr>
        <w:t>Elbow lift</w:t>
      </w:r>
    </w:p>
    <w:p w:rsidR="00183B5B" w:rsidRPr="00183B5B" w:rsidRDefault="00183B5B" w:rsidP="00183B5B">
      <w:pPr>
        <w:rPr>
          <w:rFonts w:ascii="Arial" w:hAnsi="Arial" w:cs="Arial"/>
          <w:sz w:val="24"/>
          <w:szCs w:val="24"/>
        </w:rPr>
      </w:pPr>
      <w:r>
        <w:rPr>
          <w:rFonts w:ascii="Arial" w:hAnsi="Arial" w:cs="Arial"/>
          <w:sz w:val="24"/>
          <w:szCs w:val="24"/>
        </w:rPr>
        <w:t>Further details and evidence is available in the Derbyshire inter Agency Group (DIAG) Code of Practice, pages 154 - 163</w:t>
      </w:r>
    </w:p>
    <w:sectPr w:rsidR="00183B5B" w:rsidRPr="00183B5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52BB8"/>
    <w:multiLevelType w:val="hybridMultilevel"/>
    <w:tmpl w:val="392239A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2078E"/>
    <w:rsid w:val="00095A55"/>
    <w:rsid w:val="000B5E28"/>
    <w:rsid w:val="001234BA"/>
    <w:rsid w:val="00183B5B"/>
    <w:rsid w:val="002F058D"/>
    <w:rsid w:val="003E4D5C"/>
    <w:rsid w:val="0042078E"/>
    <w:rsid w:val="0049459E"/>
    <w:rsid w:val="006D05D2"/>
    <w:rsid w:val="00A30E2F"/>
    <w:rsid w:val="00A927FB"/>
    <w:rsid w:val="00B0469E"/>
    <w:rsid w:val="00ED6F93"/>
    <w:rsid w:val="00FE41D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EF15EE"/>
  <w15:docId w15:val="{67911730-6087-420F-BF89-5FC6D85E6E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2078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NotRelyOnCSS/>
  <w:doNotOrganizeInFolder/>
  <w:doNotUseLongFileNames/>
  <w:pixelsPerInch w:val="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238</Words>
  <Characters>1359</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NHS</Company>
  <LinksUpToDate>false</LinksUpToDate>
  <CharactersWithSpaces>1594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Gill_Nichols</dc:creator>
  <cp:lastModifiedBy>RILEY, Val (DERBYSHIRE COMMUNITY HEALTH SERVICES NHS FOUNDATION TRUST)</cp:lastModifiedBy>
  <cp:revision>1</cp:revision>
  <dcterms:created xsi:type="dcterms:W3CDTF">2022-06-10T14:05:00Z</dcterms:created>
  <dcterms:modified xsi:type="dcterms:W3CDTF">2022-06-10T14:05:00Z</dcterms:modified>
</cp:coreProperties>
</file>