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230812" w14:textId="77777777" w:rsidR="000E4C0A" w:rsidRPr="00AA09AA" w:rsidRDefault="000E4C0A" w:rsidP="000E4C0A">
      <w:pPr>
        <w:spacing w:after="120" w:line="240" w:lineRule="auto"/>
        <w:jc w:val="center"/>
        <w:rPr>
          <w:rFonts w:cstheme="minorHAnsi"/>
          <w:b/>
          <w:bCs/>
          <w:sz w:val="32"/>
          <w:szCs w:val="32"/>
        </w:rPr>
      </w:pPr>
      <w:r w:rsidRPr="00AA09AA">
        <w:rPr>
          <w:rFonts w:cstheme="minorHAnsi"/>
          <w:b/>
          <w:bCs/>
          <w:sz w:val="32"/>
          <w:szCs w:val="32"/>
        </w:rPr>
        <w:t>Workforce Race Equality Standard</w:t>
      </w:r>
    </w:p>
    <w:p w14:paraId="33F97521" w14:textId="77777777" w:rsidR="000E4C0A" w:rsidRPr="00AA09AA" w:rsidRDefault="000E4C0A" w:rsidP="000E4C0A">
      <w:pPr>
        <w:spacing w:after="120" w:line="240" w:lineRule="auto"/>
        <w:jc w:val="center"/>
        <w:rPr>
          <w:rFonts w:cstheme="minorHAnsi"/>
          <w:b/>
          <w:bCs/>
          <w:sz w:val="32"/>
          <w:szCs w:val="32"/>
        </w:rPr>
      </w:pPr>
      <w:r w:rsidRPr="00AA09AA">
        <w:rPr>
          <w:rFonts w:cstheme="minorHAnsi"/>
          <w:b/>
          <w:bCs/>
          <w:sz w:val="32"/>
          <w:szCs w:val="32"/>
        </w:rPr>
        <w:t>Derbyshire Community Health Services</w:t>
      </w:r>
    </w:p>
    <w:p w14:paraId="040F3D9F" w14:textId="54FB1A29" w:rsidR="000E4C0A" w:rsidRPr="00AA09AA" w:rsidRDefault="000E4C0A" w:rsidP="000E4C0A">
      <w:pPr>
        <w:spacing w:after="120" w:line="240" w:lineRule="auto"/>
        <w:jc w:val="center"/>
        <w:rPr>
          <w:rFonts w:cstheme="minorHAnsi"/>
          <w:b/>
          <w:bCs/>
          <w:sz w:val="32"/>
          <w:szCs w:val="32"/>
        </w:rPr>
      </w:pPr>
      <w:r w:rsidRPr="00AA09AA">
        <w:rPr>
          <w:rFonts w:cstheme="minorHAnsi"/>
          <w:b/>
          <w:bCs/>
          <w:sz w:val="32"/>
          <w:szCs w:val="32"/>
        </w:rPr>
        <w:t>Data report 202</w:t>
      </w:r>
      <w:r w:rsidR="00AA09AA">
        <w:rPr>
          <w:rFonts w:cstheme="minorHAnsi"/>
          <w:b/>
          <w:bCs/>
          <w:sz w:val="32"/>
          <w:szCs w:val="32"/>
        </w:rPr>
        <w:t>4</w:t>
      </w:r>
    </w:p>
    <w:p w14:paraId="57BBACF1" w14:textId="77777777" w:rsidR="000E4C0A" w:rsidRPr="00AA09AA" w:rsidRDefault="000E4C0A" w:rsidP="00AA09AA">
      <w:pPr>
        <w:spacing w:after="120" w:line="240" w:lineRule="auto"/>
        <w:jc w:val="both"/>
        <w:rPr>
          <w:rFonts w:cstheme="minorHAnsi"/>
        </w:rPr>
      </w:pPr>
    </w:p>
    <w:p w14:paraId="55E66B85" w14:textId="77777777" w:rsidR="000E4C0A" w:rsidRPr="00AA09AA" w:rsidRDefault="000E4C0A" w:rsidP="00AA09AA">
      <w:pPr>
        <w:pStyle w:val="ListParagraph"/>
        <w:numPr>
          <w:ilvl w:val="0"/>
          <w:numId w:val="1"/>
        </w:numPr>
        <w:spacing w:after="120" w:line="240" w:lineRule="auto"/>
        <w:contextualSpacing w:val="0"/>
        <w:jc w:val="both"/>
        <w:rPr>
          <w:rFonts w:cstheme="minorHAnsi"/>
          <w:b/>
          <w:bCs/>
        </w:rPr>
      </w:pPr>
      <w:r w:rsidRPr="00AA09AA">
        <w:rPr>
          <w:rFonts w:cstheme="minorHAnsi"/>
          <w:b/>
          <w:bCs/>
        </w:rPr>
        <w:t>Overview</w:t>
      </w:r>
    </w:p>
    <w:p w14:paraId="03B7C295" w14:textId="48136051" w:rsidR="000E4C0A" w:rsidRPr="00AA09AA" w:rsidRDefault="000E4C0A" w:rsidP="00AA09AA">
      <w:pPr>
        <w:pStyle w:val="ListParagraph"/>
        <w:numPr>
          <w:ilvl w:val="1"/>
          <w:numId w:val="1"/>
        </w:numPr>
        <w:spacing w:after="120" w:line="240" w:lineRule="auto"/>
        <w:contextualSpacing w:val="0"/>
        <w:jc w:val="both"/>
        <w:rPr>
          <w:rFonts w:cstheme="minorHAnsi"/>
        </w:rPr>
      </w:pPr>
      <w:r w:rsidRPr="00AA09AA">
        <w:rPr>
          <w:rFonts w:cstheme="minorHAnsi"/>
        </w:rPr>
        <w:t>This report summarises Derbyshire Community Health Services (DCHS) NHS Foundation Trust’s 202</w:t>
      </w:r>
      <w:r w:rsidR="00AA09AA">
        <w:rPr>
          <w:rFonts w:cstheme="minorHAnsi"/>
        </w:rPr>
        <w:t>3</w:t>
      </w:r>
      <w:r w:rsidRPr="00AA09AA">
        <w:rPr>
          <w:rFonts w:cstheme="minorHAnsi"/>
        </w:rPr>
        <w:t xml:space="preserve"> datasets under the auspices of the NHS Workforce Race Equality Standard. A separate document sets out some improvement actions aimed at closing or narrowing the disproportionate gaps in opportunities, experiences, treatment and outcomes for colleagues and job applicants, specifically between White and Black &amp; Minority Ethnic (BME) people.</w:t>
      </w:r>
    </w:p>
    <w:p w14:paraId="3BB08BDF" w14:textId="2E33E6DA" w:rsidR="000E4C0A" w:rsidRPr="00AA09AA" w:rsidRDefault="000E4C0A" w:rsidP="00AA09AA">
      <w:pPr>
        <w:pStyle w:val="ListParagraph"/>
        <w:numPr>
          <w:ilvl w:val="1"/>
          <w:numId w:val="1"/>
        </w:numPr>
        <w:spacing w:after="120" w:line="240" w:lineRule="auto"/>
        <w:contextualSpacing w:val="0"/>
        <w:jc w:val="both"/>
        <w:rPr>
          <w:rFonts w:cstheme="minorHAnsi"/>
        </w:rPr>
      </w:pPr>
      <w:r w:rsidRPr="00AA09AA">
        <w:rPr>
          <w:rFonts w:cstheme="minorHAnsi"/>
        </w:rPr>
        <w:t>The period that the content of this report refers to is as of 31 March 202</w:t>
      </w:r>
      <w:r w:rsidR="00AA09AA">
        <w:rPr>
          <w:rFonts w:cstheme="minorHAnsi"/>
        </w:rPr>
        <w:t>4</w:t>
      </w:r>
      <w:r w:rsidRPr="00AA09AA">
        <w:rPr>
          <w:rFonts w:cstheme="minorHAnsi"/>
        </w:rPr>
        <w:t xml:space="preserve">. </w:t>
      </w:r>
    </w:p>
    <w:p w14:paraId="7EF2B742" w14:textId="11A15F09" w:rsidR="000E4C0A" w:rsidRPr="00AA09AA" w:rsidRDefault="000E4C0A" w:rsidP="00AA09AA">
      <w:pPr>
        <w:pStyle w:val="ListParagraph"/>
        <w:numPr>
          <w:ilvl w:val="1"/>
          <w:numId w:val="1"/>
        </w:numPr>
        <w:spacing w:after="120" w:line="240" w:lineRule="auto"/>
        <w:contextualSpacing w:val="0"/>
        <w:jc w:val="both"/>
        <w:rPr>
          <w:rFonts w:cstheme="minorHAnsi"/>
        </w:rPr>
      </w:pPr>
      <w:r w:rsidRPr="00AA09AA">
        <w:rPr>
          <w:rFonts w:cstheme="minorHAnsi"/>
        </w:rPr>
        <w:t>DCHS’ 202</w:t>
      </w:r>
      <w:r w:rsidR="00AA09AA">
        <w:rPr>
          <w:rFonts w:cstheme="minorHAnsi"/>
        </w:rPr>
        <w:t>3</w:t>
      </w:r>
      <w:r w:rsidRPr="00AA09AA">
        <w:rPr>
          <w:rFonts w:cstheme="minorHAnsi"/>
        </w:rPr>
        <w:t xml:space="preserve"> WRES data is provided for comparison only.</w:t>
      </w:r>
    </w:p>
    <w:p w14:paraId="406D6998" w14:textId="77777777" w:rsidR="000E4C0A" w:rsidRPr="00AA09AA" w:rsidRDefault="000E4C0A" w:rsidP="00AA09AA">
      <w:pPr>
        <w:spacing w:after="120" w:line="240" w:lineRule="auto"/>
        <w:jc w:val="both"/>
        <w:rPr>
          <w:rFonts w:cstheme="minorHAnsi"/>
        </w:rPr>
      </w:pPr>
    </w:p>
    <w:p w14:paraId="4078C78E" w14:textId="77777777" w:rsidR="000E4C0A" w:rsidRPr="00AA09AA" w:rsidRDefault="000E4C0A" w:rsidP="00AA09AA">
      <w:pPr>
        <w:pStyle w:val="ListParagraph"/>
        <w:numPr>
          <w:ilvl w:val="0"/>
          <w:numId w:val="1"/>
        </w:numPr>
        <w:spacing w:after="120" w:line="240" w:lineRule="auto"/>
        <w:contextualSpacing w:val="0"/>
        <w:jc w:val="both"/>
        <w:rPr>
          <w:rFonts w:cstheme="minorHAnsi"/>
          <w:b/>
          <w:bCs/>
        </w:rPr>
      </w:pPr>
      <w:r w:rsidRPr="00AA09AA">
        <w:rPr>
          <w:rFonts w:cstheme="minorHAnsi"/>
          <w:b/>
          <w:bCs/>
        </w:rPr>
        <w:t>NHS WRES</w:t>
      </w:r>
    </w:p>
    <w:p w14:paraId="748C7C88" w14:textId="77777777" w:rsidR="000E4C0A" w:rsidRPr="00AA09AA" w:rsidRDefault="000E4C0A" w:rsidP="00AA09AA">
      <w:pPr>
        <w:pStyle w:val="ListParagraph"/>
        <w:numPr>
          <w:ilvl w:val="1"/>
          <w:numId w:val="1"/>
        </w:numPr>
        <w:spacing w:after="120" w:line="240" w:lineRule="auto"/>
        <w:contextualSpacing w:val="0"/>
        <w:jc w:val="both"/>
        <w:rPr>
          <w:rFonts w:cstheme="minorHAnsi"/>
        </w:rPr>
      </w:pPr>
      <w:r w:rsidRPr="00AA09AA">
        <w:rPr>
          <w:rFonts w:cstheme="minorHAnsi"/>
        </w:rPr>
        <w:t>In April 2015, the WRES was formally launched and mandated to all NHS Trusts and Foundation Trusts in England through the NHS Standard Contract.</w:t>
      </w:r>
    </w:p>
    <w:p w14:paraId="4C926777" w14:textId="1A70962A" w:rsidR="000E4C0A" w:rsidRPr="00AA09AA" w:rsidRDefault="000E4C0A" w:rsidP="00AA09AA">
      <w:pPr>
        <w:pStyle w:val="ListParagraph"/>
        <w:numPr>
          <w:ilvl w:val="1"/>
          <w:numId w:val="1"/>
        </w:numPr>
        <w:spacing w:after="120" w:line="240" w:lineRule="auto"/>
        <w:contextualSpacing w:val="0"/>
        <w:jc w:val="both"/>
        <w:rPr>
          <w:rFonts w:cstheme="minorHAnsi"/>
        </w:rPr>
      </w:pPr>
      <w:r w:rsidRPr="00AA09AA">
        <w:rPr>
          <w:rFonts w:cstheme="minorHAnsi"/>
        </w:rPr>
        <w:t xml:space="preserve">The WRES comprises </w:t>
      </w:r>
      <w:r w:rsidR="00AA09AA">
        <w:rPr>
          <w:rFonts w:cstheme="minorHAnsi"/>
        </w:rPr>
        <w:t>of nine indicators</w:t>
      </w:r>
      <w:r w:rsidRPr="00AA09AA">
        <w:rPr>
          <w:rFonts w:cstheme="minorHAnsi"/>
        </w:rPr>
        <w:t xml:space="preserve"> that incorporate data from four primary sources: the NHS Electronic Staff Record (ESR), NHS Staff Survey results, local recruitment system</w:t>
      </w:r>
      <w:r w:rsidR="00AA09AA">
        <w:rPr>
          <w:rFonts w:cstheme="minorHAnsi"/>
        </w:rPr>
        <w:t xml:space="preserve"> (</w:t>
      </w:r>
      <w:r w:rsidRPr="00AA09AA">
        <w:rPr>
          <w:rFonts w:cstheme="minorHAnsi"/>
        </w:rPr>
        <w:t>TRAC</w:t>
      </w:r>
      <w:r w:rsidR="00AA09AA">
        <w:rPr>
          <w:rFonts w:cstheme="minorHAnsi"/>
        </w:rPr>
        <w:t>)</w:t>
      </w:r>
      <w:r w:rsidRPr="00AA09AA">
        <w:rPr>
          <w:rFonts w:cstheme="minorHAnsi"/>
        </w:rPr>
        <w:t xml:space="preserve"> and workforce information systems.</w:t>
      </w:r>
    </w:p>
    <w:p w14:paraId="27981606" w14:textId="77777777" w:rsidR="000E4C0A" w:rsidRPr="00AA09AA" w:rsidRDefault="000E4C0A" w:rsidP="00AA09AA">
      <w:pPr>
        <w:pStyle w:val="ListParagraph"/>
        <w:numPr>
          <w:ilvl w:val="1"/>
          <w:numId w:val="1"/>
        </w:numPr>
        <w:spacing w:after="120" w:line="240" w:lineRule="auto"/>
        <w:contextualSpacing w:val="0"/>
        <w:jc w:val="both"/>
        <w:rPr>
          <w:rFonts w:cstheme="minorHAnsi"/>
        </w:rPr>
      </w:pPr>
      <w:r w:rsidRPr="00AA09AA">
        <w:rPr>
          <w:rFonts w:cstheme="minorHAnsi"/>
        </w:rPr>
        <w:t xml:space="preserve">More information about the WRES is accessible via </w:t>
      </w:r>
      <w:hyperlink r:id="rId7" w:history="1">
        <w:r w:rsidRPr="00AA09AA">
          <w:rPr>
            <w:rStyle w:val="Hyperlink"/>
            <w:rFonts w:cstheme="minorHAnsi"/>
          </w:rPr>
          <w:t>https://www.england.nhs.uk/about/equality/equality-hub/equality-standard/</w:t>
        </w:r>
      </w:hyperlink>
    </w:p>
    <w:p w14:paraId="5FD8F18E" w14:textId="21E11720" w:rsidR="000E4C0A" w:rsidRPr="000E4C0A" w:rsidRDefault="000E4C0A" w:rsidP="00AA09AA">
      <w:pPr>
        <w:jc w:val="both"/>
        <w:rPr>
          <w:rFonts w:cstheme="minorHAnsi"/>
        </w:rPr>
      </w:pPr>
      <w:r w:rsidRPr="000E4C0A">
        <w:rPr>
          <w:rFonts w:cstheme="minorHAnsi"/>
        </w:rPr>
        <w:br w:type="page"/>
      </w:r>
    </w:p>
    <w:p w14:paraId="2057E388" w14:textId="3DC50D08" w:rsidR="000E4C0A" w:rsidRPr="000E4C0A" w:rsidRDefault="000E4C0A" w:rsidP="000E4C0A">
      <w:pPr>
        <w:jc w:val="center"/>
        <w:rPr>
          <w:rFonts w:cstheme="minorHAnsi"/>
          <w:b/>
          <w:bCs/>
          <w:sz w:val="28"/>
          <w:szCs w:val="28"/>
        </w:rPr>
      </w:pPr>
      <w:r w:rsidRPr="000E4C0A">
        <w:rPr>
          <w:rFonts w:cstheme="minorHAnsi"/>
          <w:b/>
          <w:bCs/>
          <w:sz w:val="28"/>
          <w:szCs w:val="28"/>
        </w:rPr>
        <w:lastRenderedPageBreak/>
        <w:t>DCHS 2024 WRES data</w:t>
      </w:r>
      <w:r w:rsidRPr="000E4C0A">
        <w:rPr>
          <w:rFonts w:cstheme="minorHAnsi"/>
          <w:bCs/>
          <w:noProof/>
          <w:sz w:val="28"/>
          <w:szCs w:val="28"/>
        </w:rPr>
        <w:drawing>
          <wp:anchor distT="0" distB="0" distL="114300" distR="114300" simplePos="0" relativeHeight="251659264" behindDoc="0" locked="0" layoutInCell="1" allowOverlap="1" wp14:anchorId="32780C66" wp14:editId="42806F89">
            <wp:simplePos x="0" y="0"/>
            <wp:positionH relativeFrom="margin">
              <wp:posOffset>12356465</wp:posOffset>
            </wp:positionH>
            <wp:positionV relativeFrom="margin">
              <wp:posOffset>-883285</wp:posOffset>
            </wp:positionV>
            <wp:extent cx="1804035" cy="718185"/>
            <wp:effectExtent l="0" t="0" r="5715" b="5715"/>
            <wp:wrapSquare wrapText="bothSides"/>
            <wp:docPr id="15" name="Picture 15" descr="I:\Suzanne\Website stuff\Derbyshire%20Community%20Health%20Services%20NHS%20Foundation%20Trust%20RGB%20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Suzanne\Website stuff\Derbyshire%20Community%20Health%20Services%20NHS%20Foundation%20Trust%20RGB%20BLUE.jp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25679" t="17803" r="7760" b="18658"/>
                    <a:stretch/>
                  </pic:blipFill>
                  <pic:spPr bwMode="auto">
                    <a:xfrm>
                      <a:off x="0" y="0"/>
                      <a:ext cx="1804035" cy="71818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bl>
      <w:tblPr>
        <w:tblStyle w:val="TableGrid"/>
        <w:tblW w:w="1587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985"/>
        <w:gridCol w:w="4394"/>
        <w:gridCol w:w="954"/>
        <w:gridCol w:w="4255"/>
        <w:gridCol w:w="4288"/>
      </w:tblGrid>
      <w:tr w:rsidR="000E4C0A" w:rsidRPr="000E4C0A" w14:paraId="24AFA528" w14:textId="77777777" w:rsidTr="000E4C0A">
        <w:trPr>
          <w:gridAfter w:val="1"/>
          <w:wAfter w:w="4288" w:type="dxa"/>
          <w:jc w:val="center"/>
        </w:trPr>
        <w:tc>
          <w:tcPr>
            <w:tcW w:w="7333" w:type="dxa"/>
            <w:gridSpan w:val="3"/>
          </w:tcPr>
          <w:p w14:paraId="66C09C70" w14:textId="77777777" w:rsidR="000E4C0A" w:rsidRPr="000E4C0A" w:rsidRDefault="000E4C0A" w:rsidP="00BA692C">
            <w:pPr>
              <w:pStyle w:val="NoSpacing"/>
              <w:jc w:val="both"/>
              <w:rPr>
                <w:rFonts w:asciiTheme="minorHAnsi" w:hAnsiTheme="minorHAnsi" w:cstheme="minorHAnsi"/>
                <w:b/>
                <w:sz w:val="24"/>
                <w:szCs w:val="24"/>
              </w:rPr>
            </w:pPr>
          </w:p>
        </w:tc>
        <w:tc>
          <w:tcPr>
            <w:tcW w:w="4255" w:type="dxa"/>
          </w:tcPr>
          <w:p w14:paraId="063E7232" w14:textId="77777777" w:rsidR="000E4C0A" w:rsidRPr="000E4C0A" w:rsidRDefault="000E4C0A" w:rsidP="00BA692C">
            <w:pPr>
              <w:pStyle w:val="NoSpacing"/>
              <w:jc w:val="both"/>
              <w:rPr>
                <w:rFonts w:asciiTheme="minorHAnsi" w:hAnsiTheme="minorHAnsi" w:cstheme="minorHAnsi"/>
                <w:b/>
                <w:sz w:val="24"/>
                <w:szCs w:val="24"/>
              </w:rPr>
            </w:pPr>
          </w:p>
        </w:tc>
      </w:tr>
      <w:tr w:rsidR="000E4C0A" w:rsidRPr="000E4C0A" w14:paraId="2B9C3EEB" w14:textId="77777777" w:rsidTr="000E4C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blHeader/>
          <w:jc w:val="center"/>
        </w:trPr>
        <w:tc>
          <w:tcPr>
            <w:tcW w:w="1985" w:type="dxa"/>
            <w:shd w:val="clear" w:color="auto" w:fill="D9D9D9" w:themeFill="background1" w:themeFillShade="D9"/>
          </w:tcPr>
          <w:p w14:paraId="015FC3D4" w14:textId="303F9A60" w:rsidR="000E4C0A" w:rsidRPr="000E4C0A" w:rsidRDefault="000E4C0A" w:rsidP="000E4C0A">
            <w:pPr>
              <w:pStyle w:val="NoSpacing"/>
              <w:rPr>
                <w:rFonts w:asciiTheme="minorHAnsi" w:hAnsiTheme="minorHAnsi" w:cstheme="minorHAnsi"/>
                <w:sz w:val="24"/>
                <w:szCs w:val="24"/>
              </w:rPr>
            </w:pPr>
            <w:bookmarkStart w:id="0" w:name="_Hlk143276943"/>
            <w:r w:rsidRPr="000E4C0A">
              <w:rPr>
                <w:rFonts w:asciiTheme="minorHAnsi" w:hAnsiTheme="minorHAnsi" w:cstheme="minorHAnsi"/>
                <w:b/>
                <w:sz w:val="24"/>
                <w:szCs w:val="24"/>
              </w:rPr>
              <w:t>WRES Indicators</w:t>
            </w:r>
          </w:p>
        </w:tc>
        <w:tc>
          <w:tcPr>
            <w:tcW w:w="4394" w:type="dxa"/>
            <w:shd w:val="clear" w:color="auto" w:fill="9CC2E5" w:themeFill="accent5" w:themeFillTint="99"/>
          </w:tcPr>
          <w:p w14:paraId="51E85CC1" w14:textId="77777777" w:rsidR="000E4C0A" w:rsidRPr="000E4C0A" w:rsidRDefault="000E4C0A" w:rsidP="00BA692C">
            <w:pPr>
              <w:pStyle w:val="NoSpacing"/>
              <w:jc w:val="center"/>
              <w:rPr>
                <w:rFonts w:asciiTheme="minorHAnsi" w:hAnsiTheme="minorHAnsi" w:cstheme="minorHAnsi"/>
                <w:b/>
                <w:sz w:val="28"/>
                <w:szCs w:val="28"/>
              </w:rPr>
            </w:pPr>
            <w:r w:rsidRPr="000E4C0A">
              <w:rPr>
                <w:rFonts w:asciiTheme="minorHAnsi" w:hAnsiTheme="minorHAnsi" w:cstheme="minorHAnsi"/>
                <w:b/>
                <w:sz w:val="28"/>
                <w:szCs w:val="28"/>
              </w:rPr>
              <w:t>2024 Data</w:t>
            </w:r>
          </w:p>
        </w:tc>
        <w:tc>
          <w:tcPr>
            <w:tcW w:w="9497" w:type="dxa"/>
            <w:gridSpan w:val="3"/>
            <w:shd w:val="clear" w:color="auto" w:fill="9CC2E5" w:themeFill="accent5" w:themeFillTint="99"/>
          </w:tcPr>
          <w:p w14:paraId="5A3B2F8E" w14:textId="77777777" w:rsidR="000E4C0A" w:rsidRPr="000E4C0A" w:rsidRDefault="000E4C0A" w:rsidP="00BA692C">
            <w:pPr>
              <w:pStyle w:val="NoSpacing"/>
              <w:jc w:val="center"/>
              <w:rPr>
                <w:rFonts w:asciiTheme="minorHAnsi" w:hAnsiTheme="minorHAnsi" w:cstheme="minorHAnsi"/>
                <w:b/>
                <w:sz w:val="28"/>
                <w:szCs w:val="28"/>
              </w:rPr>
            </w:pPr>
            <w:r w:rsidRPr="000E4C0A">
              <w:rPr>
                <w:rFonts w:asciiTheme="minorHAnsi" w:hAnsiTheme="minorHAnsi" w:cstheme="minorHAnsi"/>
                <w:b/>
                <w:sz w:val="28"/>
                <w:szCs w:val="28"/>
              </w:rPr>
              <w:t>2023 Data</w:t>
            </w:r>
          </w:p>
        </w:tc>
      </w:tr>
      <w:bookmarkEnd w:id="0"/>
      <w:tr w:rsidR="000E4C0A" w:rsidRPr="000E4C0A" w14:paraId="6B8C304E" w14:textId="77777777" w:rsidTr="000E4C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33"/>
          <w:jc w:val="center"/>
        </w:trPr>
        <w:tc>
          <w:tcPr>
            <w:tcW w:w="1985" w:type="dxa"/>
            <w:shd w:val="clear" w:color="auto" w:fill="D9D9D9" w:themeFill="background1" w:themeFillShade="D9"/>
          </w:tcPr>
          <w:p w14:paraId="2426792A" w14:textId="77777777" w:rsidR="000E4C0A" w:rsidRPr="00AA09AA" w:rsidRDefault="000E4C0A" w:rsidP="000E4C0A">
            <w:pPr>
              <w:pStyle w:val="NoSpacing"/>
              <w:rPr>
                <w:rFonts w:asciiTheme="minorHAnsi" w:hAnsiTheme="minorHAnsi" w:cstheme="minorHAnsi"/>
              </w:rPr>
            </w:pPr>
            <w:r w:rsidRPr="00AA09AA">
              <w:rPr>
                <w:rFonts w:asciiTheme="minorHAnsi" w:hAnsiTheme="minorHAnsi" w:cstheme="minorHAnsi"/>
              </w:rPr>
              <w:t xml:space="preserve">DCHS’ Overall Workforce </w:t>
            </w:r>
          </w:p>
        </w:tc>
        <w:tc>
          <w:tcPr>
            <w:tcW w:w="4394" w:type="dxa"/>
            <w:shd w:val="clear" w:color="auto" w:fill="DEEAF6" w:themeFill="accent5" w:themeFillTint="33"/>
          </w:tcPr>
          <w:p w14:paraId="73031825" w14:textId="77777777" w:rsidR="000E4C0A" w:rsidRPr="000E4C0A" w:rsidRDefault="000E4C0A" w:rsidP="00BA692C">
            <w:pPr>
              <w:pStyle w:val="NoSpacing"/>
              <w:jc w:val="both"/>
              <w:rPr>
                <w:rFonts w:asciiTheme="minorHAnsi" w:hAnsiTheme="minorHAnsi" w:cstheme="minorHAnsi"/>
                <w:sz w:val="16"/>
                <w:szCs w:val="16"/>
              </w:rPr>
            </w:pPr>
          </w:p>
          <w:p w14:paraId="58C2461D" w14:textId="77777777" w:rsidR="000E4C0A" w:rsidRPr="000E4C0A" w:rsidRDefault="000E4C0A" w:rsidP="00BA692C">
            <w:pPr>
              <w:pStyle w:val="NoSpacing"/>
              <w:jc w:val="both"/>
              <w:rPr>
                <w:rFonts w:asciiTheme="minorHAnsi" w:hAnsiTheme="minorHAnsi" w:cstheme="minorHAnsi"/>
                <w:b/>
                <w:bCs/>
                <w:sz w:val="22"/>
                <w:szCs w:val="22"/>
              </w:rPr>
            </w:pPr>
            <w:r w:rsidRPr="000E4C0A">
              <w:rPr>
                <w:rFonts w:asciiTheme="minorHAnsi" w:hAnsiTheme="minorHAnsi" w:cstheme="minorHAnsi"/>
                <w:b/>
                <w:bCs/>
                <w:sz w:val="22"/>
                <w:szCs w:val="22"/>
              </w:rPr>
              <w:t>Electronic Staff Record:</w:t>
            </w:r>
          </w:p>
          <w:p w14:paraId="3008BE59" w14:textId="77777777" w:rsidR="000E4C0A" w:rsidRPr="000E4C0A" w:rsidRDefault="000E4C0A" w:rsidP="00BA692C">
            <w:pPr>
              <w:pStyle w:val="NoSpacing"/>
              <w:jc w:val="both"/>
              <w:rPr>
                <w:rFonts w:asciiTheme="minorHAnsi" w:hAnsiTheme="minorHAnsi" w:cstheme="minorHAnsi"/>
                <w:sz w:val="22"/>
                <w:szCs w:val="22"/>
              </w:rPr>
            </w:pPr>
            <w:r w:rsidRPr="000E4C0A">
              <w:rPr>
                <w:rFonts w:asciiTheme="minorHAnsi" w:hAnsiTheme="minorHAnsi" w:cstheme="minorHAnsi"/>
                <w:sz w:val="22"/>
                <w:szCs w:val="22"/>
              </w:rPr>
              <w:t>White: 91.35% (4160)</w:t>
            </w:r>
          </w:p>
          <w:p w14:paraId="5A7B20D1" w14:textId="77777777" w:rsidR="000E4C0A" w:rsidRPr="000E4C0A" w:rsidRDefault="000E4C0A" w:rsidP="00BA692C">
            <w:pPr>
              <w:pStyle w:val="NoSpacing"/>
              <w:jc w:val="both"/>
              <w:rPr>
                <w:rFonts w:asciiTheme="minorHAnsi" w:hAnsiTheme="minorHAnsi" w:cstheme="minorHAnsi"/>
                <w:sz w:val="22"/>
                <w:szCs w:val="22"/>
              </w:rPr>
            </w:pPr>
            <w:r w:rsidRPr="000E4C0A">
              <w:rPr>
                <w:rFonts w:asciiTheme="minorHAnsi" w:hAnsiTheme="minorHAnsi" w:cstheme="minorHAnsi"/>
                <w:sz w:val="22"/>
                <w:szCs w:val="22"/>
              </w:rPr>
              <w:t>BME: 6.9% (314)</w:t>
            </w:r>
          </w:p>
          <w:p w14:paraId="40A6CC84" w14:textId="77777777" w:rsidR="000E4C0A" w:rsidRPr="000E4C0A" w:rsidRDefault="000E4C0A" w:rsidP="00BA692C">
            <w:pPr>
              <w:pStyle w:val="NoSpacing"/>
              <w:jc w:val="both"/>
              <w:rPr>
                <w:rFonts w:asciiTheme="minorHAnsi" w:hAnsiTheme="minorHAnsi" w:cstheme="minorHAnsi"/>
                <w:sz w:val="22"/>
                <w:szCs w:val="22"/>
              </w:rPr>
            </w:pPr>
            <w:r w:rsidRPr="000E4C0A">
              <w:rPr>
                <w:rFonts w:asciiTheme="minorHAnsi" w:hAnsiTheme="minorHAnsi" w:cstheme="minorHAnsi"/>
                <w:sz w:val="22"/>
                <w:szCs w:val="22"/>
              </w:rPr>
              <w:t>Unknown: 1.76% (80)</w:t>
            </w:r>
          </w:p>
          <w:p w14:paraId="5A00AE95" w14:textId="77777777" w:rsidR="000E4C0A" w:rsidRPr="000E4C0A" w:rsidRDefault="000E4C0A" w:rsidP="00BA692C">
            <w:pPr>
              <w:pStyle w:val="NoSpacing"/>
              <w:jc w:val="both"/>
              <w:rPr>
                <w:rFonts w:asciiTheme="minorHAnsi" w:hAnsiTheme="minorHAnsi" w:cstheme="minorHAnsi"/>
                <w:sz w:val="24"/>
                <w:szCs w:val="24"/>
              </w:rPr>
            </w:pPr>
            <w:r w:rsidRPr="000E4C0A">
              <w:rPr>
                <w:rFonts w:asciiTheme="minorHAnsi" w:hAnsiTheme="minorHAnsi" w:cstheme="minorHAnsi"/>
                <w:sz w:val="22"/>
                <w:szCs w:val="22"/>
              </w:rPr>
              <w:t>Total headcount: 4554</w:t>
            </w:r>
          </w:p>
        </w:tc>
        <w:tc>
          <w:tcPr>
            <w:tcW w:w="9497" w:type="dxa"/>
            <w:gridSpan w:val="3"/>
            <w:shd w:val="clear" w:color="auto" w:fill="DEEAF6" w:themeFill="accent5" w:themeFillTint="33"/>
          </w:tcPr>
          <w:p w14:paraId="673660AB" w14:textId="77777777" w:rsidR="000E4C0A" w:rsidRPr="000E4C0A" w:rsidRDefault="000E4C0A" w:rsidP="00BA692C">
            <w:pPr>
              <w:pStyle w:val="NoSpacing"/>
              <w:jc w:val="both"/>
              <w:rPr>
                <w:rFonts w:asciiTheme="minorHAnsi" w:hAnsiTheme="minorHAnsi" w:cstheme="minorHAnsi"/>
                <w:sz w:val="16"/>
                <w:szCs w:val="16"/>
              </w:rPr>
            </w:pPr>
          </w:p>
          <w:tbl>
            <w:tblPr>
              <w:tblW w:w="6828" w:type="dxa"/>
              <w:tblLayout w:type="fixed"/>
              <w:tblCellMar>
                <w:left w:w="0" w:type="dxa"/>
                <w:right w:w="0" w:type="dxa"/>
              </w:tblCellMar>
              <w:tblLook w:val="0420" w:firstRow="1" w:lastRow="0" w:firstColumn="0" w:lastColumn="0" w:noHBand="0" w:noVBand="1"/>
            </w:tblPr>
            <w:tblGrid>
              <w:gridCol w:w="1583"/>
              <w:gridCol w:w="5245"/>
            </w:tblGrid>
            <w:tr w:rsidR="000E4C0A" w:rsidRPr="000E4C0A" w14:paraId="4CA12686" w14:textId="77777777" w:rsidTr="000E4C0A">
              <w:trPr>
                <w:trHeight w:val="268"/>
              </w:trPr>
              <w:tc>
                <w:tcPr>
                  <w:tcW w:w="1583" w:type="dxa"/>
                  <w:tcBorders>
                    <w:top w:val="single" w:sz="8" w:space="0" w:color="FFFFFF"/>
                    <w:left w:val="single" w:sz="8" w:space="0" w:color="FFFFFF"/>
                    <w:bottom w:val="single" w:sz="24" w:space="0" w:color="FFFFFF"/>
                    <w:right w:val="single" w:sz="8" w:space="0" w:color="FFFFFF"/>
                  </w:tcBorders>
                  <w:shd w:val="clear" w:color="auto" w:fill="9CC2E5" w:themeFill="accent5" w:themeFillTint="99"/>
                  <w:tcMar>
                    <w:top w:w="15" w:type="dxa"/>
                    <w:left w:w="108" w:type="dxa"/>
                    <w:bottom w:w="0" w:type="dxa"/>
                    <w:right w:w="108" w:type="dxa"/>
                  </w:tcMar>
                  <w:vAlign w:val="center"/>
                  <w:hideMark/>
                </w:tcPr>
                <w:p w14:paraId="2C277875" w14:textId="77777777" w:rsidR="000E4C0A" w:rsidRPr="000E4C0A" w:rsidRDefault="000E4C0A" w:rsidP="00BA692C">
                  <w:pPr>
                    <w:pStyle w:val="NoSpacing"/>
                    <w:rPr>
                      <w:rFonts w:cstheme="minorHAnsi"/>
                    </w:rPr>
                  </w:pPr>
                  <w:r w:rsidRPr="000E4C0A">
                    <w:rPr>
                      <w:rFonts w:cstheme="minorHAnsi"/>
                      <w:b/>
                      <w:bCs/>
                    </w:rPr>
                    <w:t>White</w:t>
                  </w:r>
                </w:p>
              </w:tc>
              <w:tc>
                <w:tcPr>
                  <w:tcW w:w="5245" w:type="dxa"/>
                  <w:tcBorders>
                    <w:top w:val="single" w:sz="8" w:space="0" w:color="FFFFFF"/>
                    <w:left w:val="single" w:sz="8" w:space="0" w:color="FFFFFF"/>
                    <w:bottom w:val="single" w:sz="24" w:space="0" w:color="FFFFFF"/>
                    <w:right w:val="single" w:sz="8" w:space="0" w:color="FFFFFF"/>
                  </w:tcBorders>
                  <w:shd w:val="clear" w:color="auto" w:fill="9CC2E5" w:themeFill="accent5" w:themeFillTint="99"/>
                  <w:tcMar>
                    <w:top w:w="15" w:type="dxa"/>
                    <w:left w:w="108" w:type="dxa"/>
                    <w:bottom w:w="0" w:type="dxa"/>
                    <w:right w:w="108" w:type="dxa"/>
                  </w:tcMar>
                  <w:vAlign w:val="center"/>
                  <w:hideMark/>
                </w:tcPr>
                <w:p w14:paraId="0144EF68" w14:textId="77777777" w:rsidR="000E4C0A" w:rsidRPr="000E4C0A" w:rsidRDefault="000E4C0A" w:rsidP="00BA692C">
                  <w:pPr>
                    <w:pStyle w:val="NoSpacing"/>
                    <w:jc w:val="both"/>
                    <w:rPr>
                      <w:rFonts w:cstheme="minorHAnsi"/>
                    </w:rPr>
                  </w:pPr>
                  <w:r w:rsidRPr="000E4C0A">
                    <w:rPr>
                      <w:rFonts w:cstheme="minorHAnsi"/>
                    </w:rPr>
                    <w:t>4,135 (90.88%</w:t>
                  </w:r>
                </w:p>
              </w:tc>
            </w:tr>
            <w:tr w:rsidR="000E4C0A" w:rsidRPr="000E4C0A" w14:paraId="5B5B10E1" w14:textId="77777777" w:rsidTr="000E4C0A">
              <w:trPr>
                <w:trHeight w:val="205"/>
              </w:trPr>
              <w:tc>
                <w:tcPr>
                  <w:tcW w:w="1583" w:type="dxa"/>
                  <w:tcBorders>
                    <w:top w:val="single" w:sz="24" w:space="0" w:color="FFFFFF"/>
                    <w:left w:val="single" w:sz="8" w:space="0" w:color="FFFFFF"/>
                    <w:bottom w:val="single" w:sz="8" w:space="0" w:color="FFFFFF"/>
                    <w:right w:val="single" w:sz="8" w:space="0" w:color="FFFFFF"/>
                  </w:tcBorders>
                  <w:shd w:val="clear" w:color="auto" w:fill="9CC2E5" w:themeFill="accent5" w:themeFillTint="99"/>
                  <w:tcMar>
                    <w:top w:w="15" w:type="dxa"/>
                    <w:left w:w="108" w:type="dxa"/>
                    <w:bottom w:w="0" w:type="dxa"/>
                    <w:right w:w="108" w:type="dxa"/>
                  </w:tcMar>
                  <w:vAlign w:val="center"/>
                  <w:hideMark/>
                </w:tcPr>
                <w:p w14:paraId="5D4FAFEE" w14:textId="77777777" w:rsidR="000E4C0A" w:rsidRPr="000E4C0A" w:rsidRDefault="000E4C0A" w:rsidP="00BA692C">
                  <w:pPr>
                    <w:pStyle w:val="NoSpacing"/>
                    <w:rPr>
                      <w:rFonts w:cstheme="minorHAnsi"/>
                    </w:rPr>
                  </w:pPr>
                  <w:r w:rsidRPr="000E4C0A">
                    <w:rPr>
                      <w:rFonts w:cstheme="minorHAnsi"/>
                      <w:b/>
                      <w:bCs/>
                    </w:rPr>
                    <w:t>BME</w:t>
                  </w:r>
                </w:p>
              </w:tc>
              <w:tc>
                <w:tcPr>
                  <w:tcW w:w="5245" w:type="dxa"/>
                  <w:tcBorders>
                    <w:top w:val="single" w:sz="24" w:space="0" w:color="FFFFFF"/>
                    <w:left w:val="single" w:sz="8" w:space="0" w:color="FFFFFF"/>
                    <w:bottom w:val="single" w:sz="8" w:space="0" w:color="FFFFFF"/>
                    <w:right w:val="single" w:sz="8" w:space="0" w:color="FFFFFF"/>
                  </w:tcBorders>
                  <w:shd w:val="clear" w:color="auto" w:fill="9CC2E5" w:themeFill="accent5" w:themeFillTint="99"/>
                  <w:tcMar>
                    <w:top w:w="15" w:type="dxa"/>
                    <w:left w:w="108" w:type="dxa"/>
                    <w:bottom w:w="0" w:type="dxa"/>
                    <w:right w:w="108" w:type="dxa"/>
                  </w:tcMar>
                  <w:vAlign w:val="center"/>
                  <w:hideMark/>
                </w:tcPr>
                <w:p w14:paraId="551D2D2E" w14:textId="77777777" w:rsidR="000E4C0A" w:rsidRPr="000E4C0A" w:rsidRDefault="000E4C0A" w:rsidP="00BA692C">
                  <w:pPr>
                    <w:pStyle w:val="NoSpacing"/>
                    <w:jc w:val="both"/>
                    <w:rPr>
                      <w:rFonts w:cstheme="minorHAnsi"/>
                    </w:rPr>
                  </w:pPr>
                  <w:r w:rsidRPr="000E4C0A">
                    <w:rPr>
                      <w:rFonts w:cstheme="minorHAnsi"/>
                    </w:rPr>
                    <w:t xml:space="preserve">271 (5.96%) </w:t>
                  </w:r>
                </w:p>
              </w:tc>
            </w:tr>
            <w:tr w:rsidR="000E4C0A" w:rsidRPr="000E4C0A" w14:paraId="2909F74F" w14:textId="77777777" w:rsidTr="000E4C0A">
              <w:trPr>
                <w:trHeight w:val="252"/>
              </w:trPr>
              <w:tc>
                <w:tcPr>
                  <w:tcW w:w="1583" w:type="dxa"/>
                  <w:tcBorders>
                    <w:top w:val="single" w:sz="8" w:space="0" w:color="FFFFFF"/>
                    <w:left w:val="single" w:sz="8" w:space="0" w:color="FFFFFF"/>
                    <w:bottom w:val="single" w:sz="8" w:space="0" w:color="FFFFFF"/>
                    <w:right w:val="single" w:sz="8" w:space="0" w:color="FFFFFF"/>
                  </w:tcBorders>
                  <w:shd w:val="clear" w:color="auto" w:fill="9CC2E5" w:themeFill="accent5" w:themeFillTint="99"/>
                  <w:tcMar>
                    <w:top w:w="15" w:type="dxa"/>
                    <w:left w:w="108" w:type="dxa"/>
                    <w:bottom w:w="0" w:type="dxa"/>
                    <w:right w:w="108" w:type="dxa"/>
                  </w:tcMar>
                  <w:vAlign w:val="center"/>
                  <w:hideMark/>
                </w:tcPr>
                <w:p w14:paraId="4FA37967" w14:textId="77777777" w:rsidR="000E4C0A" w:rsidRPr="000E4C0A" w:rsidRDefault="000E4C0A" w:rsidP="00BA692C">
                  <w:pPr>
                    <w:pStyle w:val="NoSpacing"/>
                    <w:rPr>
                      <w:rFonts w:cstheme="minorHAnsi"/>
                    </w:rPr>
                  </w:pPr>
                  <w:r w:rsidRPr="000E4C0A">
                    <w:rPr>
                      <w:rFonts w:cstheme="minorHAnsi"/>
                      <w:b/>
                      <w:bCs/>
                    </w:rPr>
                    <w:t>Unknown</w:t>
                  </w:r>
                </w:p>
              </w:tc>
              <w:tc>
                <w:tcPr>
                  <w:tcW w:w="5245" w:type="dxa"/>
                  <w:tcBorders>
                    <w:top w:val="single" w:sz="8" w:space="0" w:color="FFFFFF"/>
                    <w:left w:val="single" w:sz="8" w:space="0" w:color="FFFFFF"/>
                    <w:bottom w:val="single" w:sz="8" w:space="0" w:color="FFFFFF"/>
                    <w:right w:val="single" w:sz="8" w:space="0" w:color="FFFFFF"/>
                  </w:tcBorders>
                  <w:shd w:val="clear" w:color="auto" w:fill="9CC2E5" w:themeFill="accent5" w:themeFillTint="99"/>
                  <w:tcMar>
                    <w:top w:w="15" w:type="dxa"/>
                    <w:left w:w="108" w:type="dxa"/>
                    <w:bottom w:w="0" w:type="dxa"/>
                    <w:right w:w="108" w:type="dxa"/>
                  </w:tcMar>
                  <w:vAlign w:val="center"/>
                  <w:hideMark/>
                </w:tcPr>
                <w:p w14:paraId="4D755350" w14:textId="77777777" w:rsidR="000E4C0A" w:rsidRPr="000E4C0A" w:rsidRDefault="000E4C0A" w:rsidP="00BA692C">
                  <w:pPr>
                    <w:pStyle w:val="NoSpacing"/>
                    <w:jc w:val="both"/>
                    <w:rPr>
                      <w:rFonts w:cstheme="minorHAnsi"/>
                    </w:rPr>
                  </w:pPr>
                  <w:r w:rsidRPr="000E4C0A">
                    <w:rPr>
                      <w:rFonts w:cstheme="minorHAnsi"/>
                    </w:rPr>
                    <w:t>144 (3.16%)</w:t>
                  </w:r>
                </w:p>
              </w:tc>
            </w:tr>
            <w:tr w:rsidR="000E4C0A" w:rsidRPr="000E4C0A" w14:paraId="68E51757" w14:textId="77777777" w:rsidTr="000E4C0A">
              <w:trPr>
                <w:trHeight w:val="389"/>
              </w:trPr>
              <w:tc>
                <w:tcPr>
                  <w:tcW w:w="1583" w:type="dxa"/>
                  <w:tcBorders>
                    <w:top w:val="single" w:sz="8" w:space="0" w:color="FFFFFF"/>
                    <w:left w:val="single" w:sz="8" w:space="0" w:color="FFFFFF"/>
                    <w:bottom w:val="single" w:sz="8" w:space="0" w:color="FFFFFF"/>
                    <w:right w:val="single" w:sz="8" w:space="0" w:color="FFFFFF"/>
                  </w:tcBorders>
                  <w:shd w:val="clear" w:color="auto" w:fill="9CC2E5" w:themeFill="accent5" w:themeFillTint="99"/>
                  <w:tcMar>
                    <w:top w:w="15" w:type="dxa"/>
                    <w:left w:w="108" w:type="dxa"/>
                    <w:bottom w:w="0" w:type="dxa"/>
                    <w:right w:w="108" w:type="dxa"/>
                  </w:tcMar>
                  <w:vAlign w:val="center"/>
                  <w:hideMark/>
                </w:tcPr>
                <w:p w14:paraId="7E6163F8" w14:textId="77777777" w:rsidR="000E4C0A" w:rsidRPr="000E4C0A" w:rsidRDefault="000E4C0A" w:rsidP="00BA692C">
                  <w:pPr>
                    <w:pStyle w:val="NoSpacing"/>
                    <w:rPr>
                      <w:rFonts w:cstheme="minorHAnsi"/>
                    </w:rPr>
                  </w:pPr>
                  <w:r w:rsidRPr="000E4C0A">
                    <w:rPr>
                      <w:rFonts w:cstheme="minorHAnsi"/>
                      <w:b/>
                      <w:bCs/>
                    </w:rPr>
                    <w:t>Total</w:t>
                  </w:r>
                </w:p>
              </w:tc>
              <w:tc>
                <w:tcPr>
                  <w:tcW w:w="5245" w:type="dxa"/>
                  <w:tcBorders>
                    <w:top w:val="single" w:sz="8" w:space="0" w:color="FFFFFF"/>
                    <w:left w:val="single" w:sz="8" w:space="0" w:color="FFFFFF"/>
                    <w:bottom w:val="single" w:sz="8" w:space="0" w:color="FFFFFF"/>
                    <w:right w:val="single" w:sz="8" w:space="0" w:color="FFFFFF"/>
                  </w:tcBorders>
                  <w:shd w:val="clear" w:color="auto" w:fill="9CC2E5" w:themeFill="accent5" w:themeFillTint="99"/>
                  <w:tcMar>
                    <w:top w:w="15" w:type="dxa"/>
                    <w:left w:w="108" w:type="dxa"/>
                    <w:bottom w:w="0" w:type="dxa"/>
                    <w:right w:w="108" w:type="dxa"/>
                  </w:tcMar>
                  <w:vAlign w:val="center"/>
                  <w:hideMark/>
                </w:tcPr>
                <w:p w14:paraId="79450BDD" w14:textId="77777777" w:rsidR="000E4C0A" w:rsidRPr="000E4C0A" w:rsidRDefault="000E4C0A" w:rsidP="00BA692C">
                  <w:pPr>
                    <w:pStyle w:val="NoSpacing"/>
                    <w:jc w:val="both"/>
                    <w:rPr>
                      <w:rFonts w:cstheme="minorHAnsi"/>
                    </w:rPr>
                  </w:pPr>
                  <w:r w:rsidRPr="000E4C0A">
                    <w:rPr>
                      <w:rFonts w:cstheme="minorHAnsi"/>
                      <w:b/>
                      <w:bCs/>
                    </w:rPr>
                    <w:t>4,5</w:t>
                  </w:r>
                  <w:r w:rsidRPr="000E4C0A">
                    <w:rPr>
                      <w:rFonts w:cstheme="minorHAnsi"/>
                      <w:b/>
                    </w:rPr>
                    <w:t>50</w:t>
                  </w:r>
                  <w:r w:rsidRPr="000E4C0A">
                    <w:rPr>
                      <w:rFonts w:cstheme="minorHAnsi"/>
                      <w:b/>
                      <w:bCs/>
                    </w:rPr>
                    <w:t xml:space="preserve"> (100%)</w:t>
                  </w:r>
                </w:p>
              </w:tc>
            </w:tr>
          </w:tbl>
          <w:p w14:paraId="37BD60C3" w14:textId="77777777" w:rsidR="000E4C0A" w:rsidRPr="000E4C0A" w:rsidRDefault="000E4C0A" w:rsidP="00BA692C">
            <w:pPr>
              <w:pStyle w:val="NoSpacing"/>
              <w:rPr>
                <w:rFonts w:asciiTheme="minorHAnsi" w:hAnsiTheme="minorHAnsi" w:cstheme="minorHAnsi"/>
              </w:rPr>
            </w:pPr>
            <w:r w:rsidRPr="000E4C0A">
              <w:rPr>
                <w:rFonts w:asciiTheme="minorHAnsi" w:hAnsiTheme="minorHAnsi" w:cstheme="minorHAnsi"/>
                <w:b/>
              </w:rPr>
              <w:t xml:space="preserve">                             Source</w:t>
            </w:r>
            <w:r w:rsidRPr="000E4C0A">
              <w:rPr>
                <w:rFonts w:asciiTheme="minorHAnsi" w:hAnsiTheme="minorHAnsi" w:cstheme="minorHAnsi"/>
              </w:rPr>
              <w:t xml:space="preserve">: Electronic Staff Record (ESR) </w:t>
            </w:r>
          </w:p>
          <w:p w14:paraId="7735F1DA" w14:textId="77777777" w:rsidR="000E4C0A" w:rsidRPr="000E4C0A" w:rsidRDefault="000E4C0A" w:rsidP="00BA692C">
            <w:pPr>
              <w:pStyle w:val="NoSpacing"/>
              <w:rPr>
                <w:rFonts w:asciiTheme="minorHAnsi" w:hAnsiTheme="minorHAnsi" w:cstheme="minorHAnsi"/>
                <w:sz w:val="16"/>
                <w:szCs w:val="16"/>
              </w:rPr>
            </w:pPr>
          </w:p>
        </w:tc>
      </w:tr>
      <w:tr w:rsidR="000E4C0A" w:rsidRPr="000E4C0A" w14:paraId="3827F796" w14:textId="77777777" w:rsidTr="00AA09A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60"/>
          <w:jc w:val="center"/>
        </w:trPr>
        <w:tc>
          <w:tcPr>
            <w:tcW w:w="1985" w:type="dxa"/>
            <w:shd w:val="clear" w:color="auto" w:fill="D9D9D9" w:themeFill="background1" w:themeFillShade="D9"/>
          </w:tcPr>
          <w:p w14:paraId="7FD2958D" w14:textId="409CFD32" w:rsidR="000E4C0A" w:rsidRPr="00AA09AA" w:rsidRDefault="000E4C0A" w:rsidP="00AA09AA">
            <w:pPr>
              <w:pStyle w:val="NoSpacing"/>
              <w:rPr>
                <w:rFonts w:asciiTheme="minorHAnsi" w:hAnsiTheme="minorHAnsi" w:cstheme="minorHAnsi"/>
              </w:rPr>
            </w:pPr>
            <w:r w:rsidRPr="000E4C0A">
              <w:rPr>
                <w:rFonts w:asciiTheme="minorHAnsi" w:hAnsiTheme="minorHAnsi" w:cstheme="minorHAnsi"/>
                <w:bCs/>
              </w:rPr>
              <w:t>1.</w:t>
            </w:r>
            <w:r w:rsidRPr="000E4C0A">
              <w:rPr>
                <w:rFonts w:asciiTheme="minorHAnsi" w:hAnsiTheme="minorHAnsi" w:cstheme="minorHAnsi"/>
              </w:rPr>
              <w:t xml:space="preserve">Percentage of White and BME staff in each of the </w:t>
            </w:r>
            <w:proofErr w:type="spellStart"/>
            <w:r w:rsidRPr="000E4C0A">
              <w:rPr>
                <w:rFonts w:asciiTheme="minorHAnsi" w:hAnsiTheme="minorHAnsi" w:cstheme="minorHAnsi"/>
              </w:rPr>
              <w:t>AfC</w:t>
            </w:r>
            <w:proofErr w:type="spellEnd"/>
            <w:r w:rsidRPr="000E4C0A">
              <w:rPr>
                <w:rFonts w:asciiTheme="minorHAnsi" w:hAnsiTheme="minorHAnsi" w:cstheme="minorHAnsi"/>
              </w:rPr>
              <w:t xml:space="preserve"> Bands 1-9 or Medical and Dental subgroups and VSM (including executive Board members) compared with the percentage of staff in the overall workforce</w:t>
            </w:r>
          </w:p>
        </w:tc>
        <w:tc>
          <w:tcPr>
            <w:tcW w:w="4394" w:type="dxa"/>
            <w:shd w:val="clear" w:color="auto" w:fill="DEEAF6" w:themeFill="accent5" w:themeFillTint="33"/>
          </w:tcPr>
          <w:p w14:paraId="4CC05070" w14:textId="77777777" w:rsidR="000E4C0A" w:rsidRPr="000E4C0A" w:rsidRDefault="000E4C0A" w:rsidP="00BA692C">
            <w:pPr>
              <w:pStyle w:val="NoSpacing"/>
              <w:jc w:val="both"/>
              <w:rPr>
                <w:rFonts w:asciiTheme="minorHAnsi" w:hAnsiTheme="minorHAnsi" w:cstheme="minorHAnsi"/>
                <w:b/>
                <w:sz w:val="24"/>
                <w:szCs w:val="24"/>
              </w:rPr>
            </w:pPr>
            <w:r w:rsidRPr="000E4C0A">
              <w:rPr>
                <w:rFonts w:asciiTheme="minorHAnsi" w:hAnsiTheme="minorHAnsi" w:cstheme="minorHAnsi"/>
                <w:b/>
                <w:noProof/>
                <w:sz w:val="24"/>
                <w:szCs w:val="24"/>
              </w:rPr>
              <w:drawing>
                <wp:inline distT="0" distB="0" distL="0" distR="0" wp14:anchorId="5443A360" wp14:editId="0AA3A132">
                  <wp:extent cx="2693931" cy="1441450"/>
                  <wp:effectExtent l="0" t="0" r="0" b="6350"/>
                  <wp:docPr id="16" name="Picture 16" descr="A table with numbers an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 table with numbers and text&#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2713754" cy="1452057"/>
                          </a:xfrm>
                          <a:prstGeom prst="rect">
                            <a:avLst/>
                          </a:prstGeom>
                        </pic:spPr>
                      </pic:pic>
                    </a:graphicData>
                  </a:graphic>
                </wp:inline>
              </w:drawing>
            </w:r>
            <w:r w:rsidRPr="000E4C0A">
              <w:rPr>
                <w:rFonts w:asciiTheme="minorHAnsi" w:hAnsiTheme="minorHAnsi" w:cstheme="minorHAnsi"/>
                <w:b/>
                <w:noProof/>
                <w:sz w:val="24"/>
                <w:szCs w:val="24"/>
              </w:rPr>
              <w:drawing>
                <wp:inline distT="0" distB="0" distL="0" distR="0" wp14:anchorId="34756482" wp14:editId="6424381F">
                  <wp:extent cx="2703853" cy="1375644"/>
                  <wp:effectExtent l="0" t="0" r="1270" b="0"/>
                  <wp:docPr id="17" name="Picture 17" descr="A table with numbers and percentag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A table with numbers and percentages&#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2728684" cy="1388277"/>
                          </a:xfrm>
                          <a:prstGeom prst="rect">
                            <a:avLst/>
                          </a:prstGeom>
                        </pic:spPr>
                      </pic:pic>
                    </a:graphicData>
                  </a:graphic>
                </wp:inline>
              </w:drawing>
            </w:r>
          </w:p>
        </w:tc>
        <w:tc>
          <w:tcPr>
            <w:tcW w:w="9497" w:type="dxa"/>
            <w:gridSpan w:val="3"/>
            <w:shd w:val="clear" w:color="auto" w:fill="DEEAF6" w:themeFill="accent5" w:themeFillTint="33"/>
          </w:tcPr>
          <w:p w14:paraId="08DAA93D" w14:textId="77777777" w:rsidR="000E4C0A" w:rsidRPr="000E4C0A" w:rsidRDefault="000E4C0A" w:rsidP="00BA692C">
            <w:pPr>
              <w:pStyle w:val="NoSpacing"/>
              <w:jc w:val="both"/>
              <w:rPr>
                <w:rFonts w:asciiTheme="minorHAnsi" w:hAnsiTheme="minorHAnsi" w:cstheme="minorHAnsi"/>
                <w:sz w:val="8"/>
                <w:szCs w:val="8"/>
              </w:rPr>
            </w:pPr>
            <w:r w:rsidRPr="000E4C0A">
              <w:rPr>
                <w:rFonts w:asciiTheme="minorHAnsi" w:hAnsiTheme="minorHAnsi" w:cstheme="minorHAnsi"/>
                <w:b/>
                <w:sz w:val="24"/>
                <w:szCs w:val="24"/>
              </w:rPr>
              <w:t xml:space="preserve">Non-Clinical Workforce by Pay Band as of </w:t>
            </w:r>
            <w:r w:rsidRPr="000E4C0A">
              <w:rPr>
                <w:rStyle w:val="NoSpacingChar"/>
                <w:rFonts w:asciiTheme="minorHAnsi" w:hAnsiTheme="minorHAnsi" w:cstheme="minorHAnsi"/>
                <w:b/>
                <w:sz w:val="24"/>
                <w:szCs w:val="24"/>
              </w:rPr>
              <w:t>31 March 2023 (1,297)</w:t>
            </w:r>
          </w:p>
          <w:p w14:paraId="479B46C0" w14:textId="77777777" w:rsidR="000E4C0A" w:rsidRPr="000E4C0A" w:rsidRDefault="000E4C0A" w:rsidP="00BA692C">
            <w:pPr>
              <w:pStyle w:val="NoSpacing"/>
              <w:jc w:val="both"/>
              <w:rPr>
                <w:rFonts w:asciiTheme="minorHAnsi" w:hAnsiTheme="minorHAnsi" w:cstheme="minorHAnsi"/>
                <w:sz w:val="12"/>
              </w:rPr>
            </w:pPr>
            <w:r w:rsidRPr="000E4C0A">
              <w:rPr>
                <w:rFonts w:asciiTheme="minorHAnsi" w:hAnsiTheme="minorHAnsi" w:cstheme="minorHAnsi"/>
                <w:noProof/>
                <w:sz w:val="12"/>
              </w:rPr>
              <w:drawing>
                <wp:inline distT="0" distB="0" distL="0" distR="0" wp14:anchorId="36440730" wp14:editId="562BBD42">
                  <wp:extent cx="5788025" cy="1530350"/>
                  <wp:effectExtent l="0" t="0" r="3175" b="0"/>
                  <wp:docPr id="8" name="table">
                    <a:extLst xmlns:a="http://schemas.openxmlformats.org/drawingml/2006/main">
                      <a:ext uri="{FF2B5EF4-FFF2-40B4-BE49-F238E27FC236}">
                        <a16:creationId xmlns:a16="http://schemas.microsoft.com/office/drawing/2014/main" id="{D29E408C-0AAE-4151-3B27-0CACBEE5215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able">
                            <a:extLst>
                              <a:ext uri="{FF2B5EF4-FFF2-40B4-BE49-F238E27FC236}">
                                <a16:creationId xmlns:a16="http://schemas.microsoft.com/office/drawing/2014/main" id="{D29E408C-0AAE-4151-3B27-0CACBEE52150}"/>
                              </a:ext>
                            </a:extLst>
                          </pic:cNvPr>
                          <pic:cNvPicPr>
                            <a:picLocks noChangeAspect="1"/>
                          </pic:cNvPicPr>
                        </pic:nvPicPr>
                        <pic:blipFill>
                          <a:blip r:embed="rId11"/>
                          <a:stretch>
                            <a:fillRect/>
                          </a:stretch>
                        </pic:blipFill>
                        <pic:spPr>
                          <a:xfrm>
                            <a:off x="0" y="0"/>
                            <a:ext cx="5849621" cy="1546636"/>
                          </a:xfrm>
                          <a:prstGeom prst="rect">
                            <a:avLst/>
                          </a:prstGeom>
                        </pic:spPr>
                      </pic:pic>
                    </a:graphicData>
                  </a:graphic>
                </wp:inline>
              </w:drawing>
            </w:r>
          </w:p>
          <w:p w14:paraId="2AF6196E" w14:textId="77777777" w:rsidR="000E4C0A" w:rsidRPr="000E4C0A" w:rsidRDefault="000E4C0A" w:rsidP="00BA692C">
            <w:pPr>
              <w:pStyle w:val="NoSpacing"/>
              <w:jc w:val="both"/>
              <w:rPr>
                <w:rFonts w:asciiTheme="minorHAnsi" w:hAnsiTheme="minorHAnsi" w:cstheme="minorHAnsi"/>
                <w:sz w:val="12"/>
              </w:rPr>
            </w:pPr>
          </w:p>
          <w:p w14:paraId="3E3A5718" w14:textId="77777777" w:rsidR="000E4C0A" w:rsidRPr="000E4C0A" w:rsidRDefault="000E4C0A" w:rsidP="00BA692C">
            <w:pPr>
              <w:pStyle w:val="NoSpacing"/>
              <w:jc w:val="both"/>
              <w:rPr>
                <w:rStyle w:val="NoSpacingChar"/>
                <w:rFonts w:asciiTheme="minorHAnsi" w:hAnsiTheme="minorHAnsi" w:cstheme="minorHAnsi"/>
                <w:b/>
                <w:sz w:val="24"/>
              </w:rPr>
            </w:pPr>
            <w:r w:rsidRPr="000E4C0A">
              <w:rPr>
                <w:rFonts w:asciiTheme="minorHAnsi" w:hAnsiTheme="minorHAnsi" w:cstheme="minorHAnsi"/>
                <w:b/>
                <w:sz w:val="24"/>
              </w:rPr>
              <w:t xml:space="preserve">Clinical Workforce by Pay Band </w:t>
            </w:r>
            <w:r w:rsidRPr="000E4C0A">
              <w:rPr>
                <w:rFonts w:asciiTheme="minorHAnsi" w:hAnsiTheme="minorHAnsi" w:cstheme="minorHAnsi"/>
                <w:b/>
                <w:sz w:val="24"/>
                <w:szCs w:val="24"/>
              </w:rPr>
              <w:t xml:space="preserve">as of </w:t>
            </w:r>
            <w:r w:rsidRPr="000E4C0A">
              <w:rPr>
                <w:rStyle w:val="NoSpacingChar"/>
                <w:rFonts w:asciiTheme="minorHAnsi" w:hAnsiTheme="minorHAnsi" w:cstheme="minorHAnsi"/>
                <w:b/>
                <w:sz w:val="24"/>
              </w:rPr>
              <w:t>31 March 2023 (3,253)</w:t>
            </w:r>
          </w:p>
          <w:p w14:paraId="5F2C0E28" w14:textId="77777777" w:rsidR="000E4C0A" w:rsidRPr="000E4C0A" w:rsidRDefault="000E4C0A" w:rsidP="00BA692C">
            <w:pPr>
              <w:pStyle w:val="NoSpacing"/>
              <w:jc w:val="both"/>
              <w:rPr>
                <w:rFonts w:asciiTheme="minorHAnsi" w:hAnsiTheme="minorHAnsi" w:cstheme="minorHAnsi"/>
              </w:rPr>
            </w:pPr>
            <w:r w:rsidRPr="000E4C0A">
              <w:rPr>
                <w:rFonts w:asciiTheme="minorHAnsi" w:hAnsiTheme="minorHAnsi" w:cstheme="minorHAnsi"/>
                <w:noProof/>
              </w:rPr>
              <w:drawing>
                <wp:inline distT="0" distB="0" distL="0" distR="0" wp14:anchorId="7995C7F4" wp14:editId="56F2272E">
                  <wp:extent cx="5787390" cy="1600200"/>
                  <wp:effectExtent l="0" t="0" r="3810" b="0"/>
                  <wp:docPr id="10" name="table">
                    <a:extLst xmlns:a="http://schemas.openxmlformats.org/drawingml/2006/main">
                      <a:ext uri="{FF2B5EF4-FFF2-40B4-BE49-F238E27FC236}">
                        <a16:creationId xmlns:a16="http://schemas.microsoft.com/office/drawing/2014/main" id="{F606B86E-6702-FBE5-6B6D-797FC816235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able">
                            <a:extLst>
                              <a:ext uri="{FF2B5EF4-FFF2-40B4-BE49-F238E27FC236}">
                                <a16:creationId xmlns:a16="http://schemas.microsoft.com/office/drawing/2014/main" id="{F606B86E-6702-FBE5-6B6D-797FC8162359}"/>
                              </a:ext>
                            </a:extLst>
                          </pic:cNvPr>
                          <pic:cNvPicPr>
                            <a:picLocks noChangeAspect="1"/>
                          </pic:cNvPicPr>
                        </pic:nvPicPr>
                        <pic:blipFill>
                          <a:blip r:embed="rId12"/>
                          <a:stretch>
                            <a:fillRect/>
                          </a:stretch>
                        </pic:blipFill>
                        <pic:spPr>
                          <a:xfrm>
                            <a:off x="0" y="0"/>
                            <a:ext cx="5883778" cy="1626851"/>
                          </a:xfrm>
                          <a:prstGeom prst="rect">
                            <a:avLst/>
                          </a:prstGeom>
                        </pic:spPr>
                      </pic:pic>
                    </a:graphicData>
                  </a:graphic>
                </wp:inline>
              </w:drawing>
            </w:r>
          </w:p>
        </w:tc>
      </w:tr>
      <w:tr w:rsidR="000E4C0A" w:rsidRPr="000E4C0A" w14:paraId="3ECE21BE" w14:textId="77777777" w:rsidTr="000E4C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031"/>
          <w:jc w:val="center"/>
        </w:trPr>
        <w:tc>
          <w:tcPr>
            <w:tcW w:w="1985" w:type="dxa"/>
            <w:shd w:val="clear" w:color="auto" w:fill="D9D9D9" w:themeFill="background1" w:themeFillShade="D9"/>
          </w:tcPr>
          <w:p w14:paraId="70521446" w14:textId="77777777" w:rsidR="000E4C0A" w:rsidRPr="000E4C0A" w:rsidRDefault="000E4C0A" w:rsidP="000E4C0A">
            <w:pPr>
              <w:rPr>
                <w:rFonts w:asciiTheme="minorHAnsi" w:hAnsiTheme="minorHAnsi" w:cstheme="minorHAnsi"/>
                <w:szCs w:val="24"/>
              </w:rPr>
            </w:pPr>
            <w:r w:rsidRPr="000E4C0A">
              <w:rPr>
                <w:rFonts w:asciiTheme="minorHAnsi" w:hAnsiTheme="minorHAnsi" w:cstheme="minorHAnsi"/>
                <w:bCs/>
                <w:szCs w:val="24"/>
              </w:rPr>
              <w:lastRenderedPageBreak/>
              <w:t>2.</w:t>
            </w:r>
            <w:r w:rsidRPr="000E4C0A">
              <w:rPr>
                <w:rFonts w:asciiTheme="minorHAnsi" w:hAnsiTheme="minorHAnsi" w:cstheme="minorHAnsi"/>
                <w:szCs w:val="24"/>
              </w:rPr>
              <w:t xml:space="preserve"> Relative likelihood of staff being appointed from shortlisting across all posts.</w:t>
            </w:r>
          </w:p>
        </w:tc>
        <w:tc>
          <w:tcPr>
            <w:tcW w:w="4394" w:type="dxa"/>
            <w:shd w:val="clear" w:color="auto" w:fill="DEEAF6" w:themeFill="accent5" w:themeFillTint="33"/>
            <w:vAlign w:val="center"/>
          </w:tcPr>
          <w:p w14:paraId="17E0B905" w14:textId="77777777" w:rsidR="000E4C0A" w:rsidRPr="000E4C0A" w:rsidRDefault="000E4C0A" w:rsidP="000E4C0A">
            <w:pPr>
              <w:pStyle w:val="NoSpacing"/>
              <w:jc w:val="center"/>
              <w:rPr>
                <w:rFonts w:asciiTheme="minorHAnsi" w:hAnsiTheme="minorHAnsi" w:cstheme="minorHAnsi"/>
                <w:sz w:val="22"/>
                <w:szCs w:val="22"/>
              </w:rPr>
            </w:pPr>
          </w:p>
          <w:p w14:paraId="2326A466"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1.66 - White job applicants are more likely to be appointed from shortlisting than BME job applicants.</w:t>
            </w:r>
          </w:p>
          <w:p w14:paraId="1C7D9DA5" w14:textId="77777777" w:rsidR="000E4C0A" w:rsidRPr="000E4C0A" w:rsidRDefault="000E4C0A" w:rsidP="000E4C0A">
            <w:pPr>
              <w:pStyle w:val="NoSpacing"/>
              <w:jc w:val="center"/>
              <w:rPr>
                <w:rFonts w:asciiTheme="minorHAnsi" w:hAnsiTheme="minorHAnsi" w:cstheme="minorHAnsi"/>
                <w:sz w:val="22"/>
                <w:szCs w:val="22"/>
              </w:rPr>
            </w:pPr>
          </w:p>
        </w:tc>
        <w:tc>
          <w:tcPr>
            <w:tcW w:w="9497" w:type="dxa"/>
            <w:gridSpan w:val="3"/>
            <w:shd w:val="clear" w:color="auto" w:fill="DEEAF6" w:themeFill="accent5" w:themeFillTint="33"/>
            <w:vAlign w:val="center"/>
          </w:tcPr>
          <w:p w14:paraId="47B9D285" w14:textId="1EB6A883"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White job applicants were 1.95 times more likely to be appointed from shortlisting than BME job applicants.</w:t>
            </w:r>
          </w:p>
        </w:tc>
      </w:tr>
      <w:tr w:rsidR="000E4C0A" w:rsidRPr="000E4C0A" w14:paraId="112E82B2" w14:textId="77777777" w:rsidTr="000E4C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656"/>
          <w:jc w:val="center"/>
        </w:trPr>
        <w:tc>
          <w:tcPr>
            <w:tcW w:w="1985" w:type="dxa"/>
            <w:shd w:val="clear" w:color="auto" w:fill="D9D9D9" w:themeFill="background1" w:themeFillShade="D9"/>
          </w:tcPr>
          <w:p w14:paraId="04F13F4F" w14:textId="77777777" w:rsidR="000E4C0A" w:rsidRPr="000E4C0A" w:rsidRDefault="000E4C0A" w:rsidP="000E4C0A">
            <w:pPr>
              <w:pStyle w:val="NoSpacing"/>
              <w:rPr>
                <w:rFonts w:asciiTheme="minorHAnsi" w:hAnsiTheme="minorHAnsi" w:cstheme="minorHAnsi"/>
              </w:rPr>
            </w:pPr>
            <w:r w:rsidRPr="000E4C0A">
              <w:rPr>
                <w:rFonts w:asciiTheme="minorHAnsi" w:hAnsiTheme="minorHAnsi" w:cstheme="minorHAnsi"/>
              </w:rPr>
              <w:t>3. Relative likelihood of staff entering the formal disciplinary process, as measured by entry into a formal disciplinary investigation.</w:t>
            </w:r>
          </w:p>
        </w:tc>
        <w:tc>
          <w:tcPr>
            <w:tcW w:w="4394" w:type="dxa"/>
            <w:shd w:val="clear" w:color="auto" w:fill="DEEAF6" w:themeFill="accent5" w:themeFillTint="33"/>
            <w:vAlign w:val="center"/>
          </w:tcPr>
          <w:p w14:paraId="4B8E361B" w14:textId="280DB51F" w:rsidR="000E4C0A" w:rsidRPr="000E4C0A" w:rsidRDefault="000E4C0A" w:rsidP="00AA09A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0.94 – White staff members are slightly more likely to enter a formal disciplinary process than BME staff members.</w:t>
            </w:r>
          </w:p>
        </w:tc>
        <w:tc>
          <w:tcPr>
            <w:tcW w:w="9497" w:type="dxa"/>
            <w:gridSpan w:val="3"/>
            <w:shd w:val="clear" w:color="auto" w:fill="DEEAF6" w:themeFill="accent5" w:themeFillTint="33"/>
            <w:vAlign w:val="center"/>
          </w:tcPr>
          <w:p w14:paraId="0C576E48" w14:textId="309586DA"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BAME employees were 0.00 relatively likely to enter a formal disciplinary process, compared to White employees.</w:t>
            </w:r>
          </w:p>
        </w:tc>
      </w:tr>
      <w:tr w:rsidR="000E4C0A" w:rsidRPr="000E4C0A" w14:paraId="4ABD78C7" w14:textId="77777777" w:rsidTr="000E4C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031"/>
          <w:jc w:val="center"/>
        </w:trPr>
        <w:tc>
          <w:tcPr>
            <w:tcW w:w="1985" w:type="dxa"/>
            <w:shd w:val="clear" w:color="auto" w:fill="D9D9D9" w:themeFill="background1" w:themeFillShade="D9"/>
          </w:tcPr>
          <w:p w14:paraId="4058A587" w14:textId="6D163516" w:rsidR="000E4C0A" w:rsidRPr="000E4C0A" w:rsidRDefault="000E4C0A" w:rsidP="000E4C0A">
            <w:pPr>
              <w:rPr>
                <w:rFonts w:asciiTheme="minorHAnsi" w:hAnsiTheme="minorHAnsi" w:cstheme="minorHAnsi"/>
              </w:rPr>
            </w:pPr>
            <w:r w:rsidRPr="000E4C0A">
              <w:rPr>
                <w:rFonts w:asciiTheme="minorHAnsi" w:hAnsiTheme="minorHAnsi" w:cstheme="minorHAnsi"/>
                <w:bCs/>
              </w:rPr>
              <w:t>4.</w:t>
            </w:r>
            <w:r w:rsidRPr="000E4C0A">
              <w:rPr>
                <w:rFonts w:asciiTheme="minorHAnsi" w:hAnsiTheme="minorHAnsi" w:cstheme="minorHAnsi"/>
              </w:rPr>
              <w:t xml:space="preserve"> </w:t>
            </w:r>
            <w:r w:rsidRPr="000E4C0A">
              <w:rPr>
                <w:rFonts w:asciiTheme="minorHAnsi" w:hAnsiTheme="minorHAnsi" w:cstheme="minorHAnsi"/>
              </w:rPr>
              <w:t>Relative likelihood of staff accessing non-mandatory training and CPD</w:t>
            </w:r>
          </w:p>
          <w:p w14:paraId="23D31518" w14:textId="77777777" w:rsidR="000E4C0A" w:rsidRPr="000E4C0A" w:rsidRDefault="000E4C0A" w:rsidP="000E4C0A">
            <w:pPr>
              <w:rPr>
                <w:rFonts w:asciiTheme="minorHAnsi" w:hAnsiTheme="minorHAnsi" w:cstheme="minorHAnsi"/>
                <w:bCs/>
              </w:rPr>
            </w:pPr>
          </w:p>
        </w:tc>
        <w:tc>
          <w:tcPr>
            <w:tcW w:w="4394" w:type="dxa"/>
            <w:shd w:val="clear" w:color="auto" w:fill="DEEAF6" w:themeFill="accent5" w:themeFillTint="33"/>
            <w:vAlign w:val="center"/>
          </w:tcPr>
          <w:p w14:paraId="014FFD21" w14:textId="4C7D2B16" w:rsidR="000E4C0A" w:rsidRPr="000E4C0A" w:rsidRDefault="000E4C0A" w:rsidP="000E4C0A">
            <w:pPr>
              <w:autoSpaceDE w:val="0"/>
              <w:autoSpaceDN w:val="0"/>
              <w:adjustRightInd w:val="0"/>
              <w:jc w:val="center"/>
              <w:rPr>
                <w:rFonts w:asciiTheme="minorHAnsi" w:hAnsiTheme="minorHAnsi" w:cstheme="minorHAnsi"/>
                <w:sz w:val="22"/>
                <w:szCs w:val="22"/>
              </w:rPr>
            </w:pPr>
            <w:r w:rsidRPr="000E4C0A">
              <w:rPr>
                <w:rFonts w:asciiTheme="minorHAnsi" w:hAnsiTheme="minorHAnsi" w:cstheme="minorHAnsi"/>
                <w:sz w:val="22"/>
                <w:szCs w:val="22"/>
              </w:rPr>
              <w:t>0.82 – White staff members are slightly less likely to access non-mandatory training and CPD than BME staff</w:t>
            </w:r>
          </w:p>
        </w:tc>
        <w:tc>
          <w:tcPr>
            <w:tcW w:w="9497" w:type="dxa"/>
            <w:gridSpan w:val="3"/>
            <w:shd w:val="clear" w:color="auto" w:fill="DEEAF6" w:themeFill="accent5" w:themeFillTint="33"/>
            <w:vAlign w:val="center"/>
          </w:tcPr>
          <w:p w14:paraId="65C4D21C" w14:textId="73632A6A" w:rsidR="000E4C0A" w:rsidRPr="000E4C0A" w:rsidRDefault="000E4C0A" w:rsidP="000E4C0A">
            <w:pPr>
              <w:autoSpaceDE w:val="0"/>
              <w:autoSpaceDN w:val="0"/>
              <w:adjustRightInd w:val="0"/>
              <w:jc w:val="center"/>
              <w:rPr>
                <w:rFonts w:asciiTheme="minorHAnsi" w:hAnsiTheme="minorHAnsi" w:cstheme="minorHAnsi"/>
                <w:sz w:val="22"/>
                <w:szCs w:val="22"/>
              </w:rPr>
            </w:pPr>
            <w:r w:rsidRPr="000E4C0A">
              <w:rPr>
                <w:rFonts w:asciiTheme="minorHAnsi" w:hAnsiTheme="minorHAnsi" w:cstheme="minorHAnsi"/>
                <w:sz w:val="22"/>
                <w:szCs w:val="22"/>
              </w:rPr>
              <w:t>White employees are 1.35 times more likely to access non-mandatory training and CPD compared to BME employees.</w:t>
            </w:r>
          </w:p>
        </w:tc>
      </w:tr>
      <w:tr w:rsidR="000E4C0A" w:rsidRPr="000E4C0A" w14:paraId="5FE9175C" w14:textId="77777777" w:rsidTr="000E4C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blHeader/>
          <w:jc w:val="center"/>
        </w:trPr>
        <w:tc>
          <w:tcPr>
            <w:tcW w:w="1985" w:type="dxa"/>
            <w:shd w:val="clear" w:color="auto" w:fill="D9D9D9" w:themeFill="background1" w:themeFillShade="D9"/>
          </w:tcPr>
          <w:p w14:paraId="61CF46C1" w14:textId="77777777" w:rsidR="000E4C0A" w:rsidRPr="000E4C0A" w:rsidRDefault="000E4C0A" w:rsidP="000E4C0A">
            <w:pPr>
              <w:pStyle w:val="NoSpacing"/>
              <w:jc w:val="center"/>
              <w:rPr>
                <w:rFonts w:asciiTheme="minorHAnsi" w:hAnsiTheme="minorHAnsi" w:cstheme="minorHAnsi"/>
                <w:sz w:val="24"/>
                <w:szCs w:val="24"/>
              </w:rPr>
            </w:pPr>
            <w:r w:rsidRPr="000E4C0A">
              <w:rPr>
                <w:rFonts w:asciiTheme="minorHAnsi" w:hAnsiTheme="minorHAnsi" w:cstheme="minorHAnsi"/>
                <w:b/>
                <w:sz w:val="24"/>
                <w:szCs w:val="24"/>
              </w:rPr>
              <w:t>Staff Survey Indicators</w:t>
            </w:r>
          </w:p>
        </w:tc>
        <w:tc>
          <w:tcPr>
            <w:tcW w:w="4394" w:type="dxa"/>
            <w:shd w:val="clear" w:color="auto" w:fill="9CC2E5" w:themeFill="accent5" w:themeFillTint="99"/>
          </w:tcPr>
          <w:p w14:paraId="67DA397F" w14:textId="77777777" w:rsidR="000E4C0A" w:rsidRPr="000E4C0A" w:rsidRDefault="000E4C0A" w:rsidP="00BA692C">
            <w:pPr>
              <w:pStyle w:val="NoSpacing"/>
              <w:jc w:val="center"/>
              <w:rPr>
                <w:rFonts w:asciiTheme="minorHAnsi" w:hAnsiTheme="minorHAnsi" w:cstheme="minorHAnsi"/>
                <w:b/>
                <w:sz w:val="32"/>
                <w:szCs w:val="32"/>
              </w:rPr>
            </w:pPr>
          </w:p>
        </w:tc>
        <w:tc>
          <w:tcPr>
            <w:tcW w:w="9497" w:type="dxa"/>
            <w:gridSpan w:val="3"/>
            <w:shd w:val="clear" w:color="auto" w:fill="9CC2E5" w:themeFill="accent5" w:themeFillTint="99"/>
            <w:vAlign w:val="center"/>
          </w:tcPr>
          <w:p w14:paraId="39DC9FBE" w14:textId="77777777" w:rsidR="000E4C0A" w:rsidRPr="000E4C0A" w:rsidRDefault="000E4C0A" w:rsidP="00BA692C">
            <w:pPr>
              <w:pStyle w:val="NoSpacing"/>
              <w:jc w:val="center"/>
              <w:rPr>
                <w:rFonts w:asciiTheme="minorHAnsi" w:hAnsiTheme="minorHAnsi" w:cstheme="minorHAnsi"/>
                <w:b/>
                <w:sz w:val="28"/>
                <w:szCs w:val="28"/>
              </w:rPr>
            </w:pPr>
            <w:r w:rsidRPr="000E4C0A">
              <w:rPr>
                <w:rFonts w:asciiTheme="minorHAnsi" w:hAnsiTheme="minorHAnsi" w:cstheme="minorHAnsi"/>
                <w:b/>
                <w:sz w:val="28"/>
                <w:szCs w:val="28"/>
              </w:rPr>
              <w:t>2023 Data</w:t>
            </w:r>
          </w:p>
        </w:tc>
      </w:tr>
      <w:tr w:rsidR="000E4C0A" w:rsidRPr="000E4C0A" w14:paraId="317D0051" w14:textId="77777777" w:rsidTr="000E4C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985" w:type="dxa"/>
            <w:shd w:val="clear" w:color="auto" w:fill="D9D9D9" w:themeFill="background1" w:themeFillShade="D9"/>
          </w:tcPr>
          <w:p w14:paraId="0C320E60" w14:textId="627AB296" w:rsidR="000E4C0A" w:rsidRPr="000E4C0A" w:rsidRDefault="000E4C0A" w:rsidP="000E4C0A">
            <w:pPr>
              <w:pStyle w:val="NoSpacing"/>
              <w:rPr>
                <w:rFonts w:asciiTheme="minorHAnsi" w:hAnsiTheme="minorHAnsi" w:cstheme="minorHAnsi"/>
              </w:rPr>
            </w:pPr>
            <w:r w:rsidRPr="000E4C0A">
              <w:rPr>
                <w:rFonts w:asciiTheme="minorHAnsi" w:hAnsiTheme="minorHAnsi" w:cstheme="minorHAnsi"/>
              </w:rPr>
              <w:t>5.</w:t>
            </w:r>
            <w:r w:rsidRPr="000E4C0A">
              <w:rPr>
                <w:rFonts w:asciiTheme="minorHAnsi" w:hAnsiTheme="minorHAnsi" w:cstheme="minorHAnsi"/>
              </w:rPr>
              <w:t xml:space="preserve"> </w:t>
            </w:r>
            <w:r w:rsidRPr="000E4C0A">
              <w:rPr>
                <w:rFonts w:asciiTheme="minorHAnsi" w:hAnsiTheme="minorHAnsi" w:cstheme="minorHAnsi"/>
              </w:rPr>
              <w:t>Percentage of staff experiencing harassment, bullying or abuse from patients, relatives or the public in last 12 months.</w:t>
            </w:r>
          </w:p>
          <w:p w14:paraId="775E2634" w14:textId="77777777" w:rsidR="000E4C0A" w:rsidRPr="000E4C0A" w:rsidRDefault="000E4C0A" w:rsidP="000E4C0A">
            <w:pPr>
              <w:pStyle w:val="NoSpacing"/>
              <w:rPr>
                <w:rFonts w:asciiTheme="minorHAnsi" w:hAnsiTheme="minorHAnsi" w:cstheme="minorHAnsi"/>
              </w:rPr>
            </w:pPr>
          </w:p>
        </w:tc>
        <w:tc>
          <w:tcPr>
            <w:tcW w:w="4394" w:type="dxa"/>
            <w:shd w:val="clear" w:color="auto" w:fill="DEEAF6" w:themeFill="accent5" w:themeFillTint="33"/>
            <w:vAlign w:val="center"/>
          </w:tcPr>
          <w:p w14:paraId="1C1BE682"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BME staff: 20.1%</w:t>
            </w:r>
          </w:p>
          <w:p w14:paraId="7566B8CE"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White staff: 19.4%</w:t>
            </w:r>
          </w:p>
        </w:tc>
        <w:tc>
          <w:tcPr>
            <w:tcW w:w="9497" w:type="dxa"/>
            <w:gridSpan w:val="3"/>
            <w:shd w:val="clear" w:color="auto" w:fill="DEEAF6" w:themeFill="accent5" w:themeFillTint="33"/>
            <w:vAlign w:val="center"/>
          </w:tcPr>
          <w:p w14:paraId="00CC9DCB"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BAME employees: 19.6% of 92</w:t>
            </w:r>
          </w:p>
          <w:p w14:paraId="44CE180A" w14:textId="77777777" w:rsidR="000E4C0A" w:rsidRPr="000E4C0A" w:rsidRDefault="000E4C0A" w:rsidP="000E4C0A">
            <w:pPr>
              <w:pStyle w:val="NoSpacing"/>
              <w:jc w:val="center"/>
              <w:rPr>
                <w:rFonts w:asciiTheme="minorHAnsi" w:hAnsiTheme="minorHAnsi" w:cstheme="minorHAnsi"/>
                <w:b/>
                <w:color w:val="FF0000"/>
                <w:sz w:val="22"/>
                <w:szCs w:val="22"/>
              </w:rPr>
            </w:pPr>
            <w:r w:rsidRPr="000E4C0A">
              <w:rPr>
                <w:rFonts w:asciiTheme="minorHAnsi" w:hAnsiTheme="minorHAnsi" w:cstheme="minorHAnsi"/>
                <w:sz w:val="22"/>
                <w:szCs w:val="22"/>
              </w:rPr>
              <w:t>White employees: 21.0% of 2,420</w:t>
            </w:r>
          </w:p>
        </w:tc>
      </w:tr>
      <w:tr w:rsidR="000E4C0A" w:rsidRPr="000E4C0A" w14:paraId="5FC6A30D" w14:textId="77777777" w:rsidTr="000E4C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985" w:type="dxa"/>
            <w:shd w:val="clear" w:color="auto" w:fill="D9D9D9" w:themeFill="background1" w:themeFillShade="D9"/>
          </w:tcPr>
          <w:p w14:paraId="2381E9B6" w14:textId="3E5F20D0" w:rsidR="000E4C0A" w:rsidRPr="000E4C0A" w:rsidRDefault="000E4C0A" w:rsidP="000E4C0A">
            <w:pPr>
              <w:pStyle w:val="NoSpacing"/>
              <w:rPr>
                <w:rFonts w:asciiTheme="minorHAnsi" w:hAnsiTheme="minorHAnsi" w:cstheme="minorHAnsi"/>
              </w:rPr>
            </w:pPr>
            <w:r w:rsidRPr="000E4C0A">
              <w:rPr>
                <w:rFonts w:asciiTheme="minorHAnsi" w:hAnsiTheme="minorHAnsi" w:cstheme="minorHAnsi"/>
              </w:rPr>
              <w:t>6.</w:t>
            </w:r>
            <w:r w:rsidRPr="000E4C0A">
              <w:rPr>
                <w:rFonts w:asciiTheme="minorHAnsi" w:hAnsiTheme="minorHAnsi" w:cstheme="minorHAnsi"/>
              </w:rPr>
              <w:t xml:space="preserve"> </w:t>
            </w:r>
            <w:r w:rsidRPr="000E4C0A">
              <w:rPr>
                <w:rFonts w:asciiTheme="minorHAnsi" w:hAnsiTheme="minorHAnsi" w:cstheme="minorHAnsi"/>
              </w:rPr>
              <w:t>Percentage of staff experiencing harassment, bullying or abuse from staff in last 12 months.</w:t>
            </w:r>
          </w:p>
          <w:p w14:paraId="49EFAD21" w14:textId="77777777" w:rsidR="000E4C0A" w:rsidRPr="000E4C0A" w:rsidRDefault="000E4C0A" w:rsidP="000E4C0A">
            <w:pPr>
              <w:pStyle w:val="NoSpacing"/>
              <w:rPr>
                <w:rFonts w:asciiTheme="minorHAnsi" w:hAnsiTheme="minorHAnsi" w:cstheme="minorHAnsi"/>
              </w:rPr>
            </w:pPr>
          </w:p>
        </w:tc>
        <w:tc>
          <w:tcPr>
            <w:tcW w:w="4394" w:type="dxa"/>
            <w:shd w:val="clear" w:color="auto" w:fill="DEEAF6" w:themeFill="accent5" w:themeFillTint="33"/>
            <w:vAlign w:val="center"/>
          </w:tcPr>
          <w:p w14:paraId="27D28902"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BME staff: 18.1%</w:t>
            </w:r>
          </w:p>
          <w:p w14:paraId="52DEDBE8"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White staff: 15.3%</w:t>
            </w:r>
          </w:p>
        </w:tc>
        <w:tc>
          <w:tcPr>
            <w:tcW w:w="9497" w:type="dxa"/>
            <w:gridSpan w:val="3"/>
            <w:shd w:val="clear" w:color="auto" w:fill="DEEAF6" w:themeFill="accent5" w:themeFillTint="33"/>
            <w:vAlign w:val="center"/>
          </w:tcPr>
          <w:p w14:paraId="4AA72660"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BAME employees: 12.1% of 91</w:t>
            </w:r>
          </w:p>
          <w:p w14:paraId="09781B94" w14:textId="77777777" w:rsidR="000E4C0A" w:rsidRPr="000E4C0A" w:rsidRDefault="000E4C0A" w:rsidP="000E4C0A">
            <w:pPr>
              <w:pStyle w:val="NoSpacing"/>
              <w:jc w:val="center"/>
              <w:rPr>
                <w:rFonts w:asciiTheme="minorHAnsi" w:hAnsiTheme="minorHAnsi" w:cstheme="minorHAnsi"/>
                <w:color w:val="FF0000"/>
                <w:sz w:val="22"/>
                <w:szCs w:val="22"/>
              </w:rPr>
            </w:pPr>
            <w:r w:rsidRPr="000E4C0A">
              <w:rPr>
                <w:rFonts w:asciiTheme="minorHAnsi" w:hAnsiTheme="minorHAnsi" w:cstheme="minorHAnsi"/>
                <w:sz w:val="22"/>
                <w:szCs w:val="22"/>
              </w:rPr>
              <w:t>White employees: 14.1% of 2,085,</w:t>
            </w:r>
          </w:p>
        </w:tc>
      </w:tr>
      <w:tr w:rsidR="000E4C0A" w:rsidRPr="000E4C0A" w14:paraId="5663EEFF" w14:textId="77777777" w:rsidTr="000E4C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985" w:type="dxa"/>
            <w:shd w:val="clear" w:color="auto" w:fill="D9D9D9" w:themeFill="background1" w:themeFillShade="D9"/>
          </w:tcPr>
          <w:p w14:paraId="626A22F4" w14:textId="77777777" w:rsidR="000E4C0A" w:rsidRPr="000E4C0A" w:rsidRDefault="000E4C0A" w:rsidP="000E4C0A">
            <w:pPr>
              <w:pStyle w:val="NoSpacing"/>
              <w:rPr>
                <w:rFonts w:asciiTheme="minorHAnsi" w:hAnsiTheme="minorHAnsi" w:cstheme="minorHAnsi"/>
              </w:rPr>
            </w:pPr>
            <w:r w:rsidRPr="000E4C0A">
              <w:rPr>
                <w:rFonts w:asciiTheme="minorHAnsi" w:hAnsiTheme="minorHAnsi" w:cstheme="minorHAnsi"/>
              </w:rPr>
              <w:t xml:space="preserve">7. Percentage of staff believing that the </w:t>
            </w:r>
            <w:r w:rsidRPr="000E4C0A">
              <w:rPr>
                <w:rFonts w:asciiTheme="minorHAnsi" w:hAnsiTheme="minorHAnsi" w:cstheme="minorHAnsi"/>
              </w:rPr>
              <w:lastRenderedPageBreak/>
              <w:t>Trust provides equal opportunities for career progression or promotion.</w:t>
            </w:r>
          </w:p>
          <w:p w14:paraId="1CCBE6CD" w14:textId="77777777" w:rsidR="000E4C0A" w:rsidRPr="000E4C0A" w:rsidRDefault="000E4C0A" w:rsidP="00BA692C">
            <w:pPr>
              <w:pStyle w:val="NoSpacing"/>
              <w:jc w:val="both"/>
              <w:rPr>
                <w:rFonts w:asciiTheme="minorHAnsi" w:hAnsiTheme="minorHAnsi" w:cstheme="minorHAnsi"/>
                <w:sz w:val="16"/>
                <w:szCs w:val="16"/>
              </w:rPr>
            </w:pPr>
          </w:p>
        </w:tc>
        <w:tc>
          <w:tcPr>
            <w:tcW w:w="4394" w:type="dxa"/>
            <w:shd w:val="clear" w:color="auto" w:fill="DEEAF6" w:themeFill="accent5" w:themeFillTint="33"/>
            <w:vAlign w:val="center"/>
          </w:tcPr>
          <w:p w14:paraId="2A9F1260"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lastRenderedPageBreak/>
              <w:t>BME staff: 59.7%</w:t>
            </w:r>
          </w:p>
          <w:p w14:paraId="3390A6DF"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White staff: 71.1%</w:t>
            </w:r>
          </w:p>
        </w:tc>
        <w:tc>
          <w:tcPr>
            <w:tcW w:w="9497" w:type="dxa"/>
            <w:gridSpan w:val="3"/>
            <w:shd w:val="clear" w:color="auto" w:fill="DEEAF6" w:themeFill="accent5" w:themeFillTint="33"/>
            <w:vAlign w:val="center"/>
          </w:tcPr>
          <w:p w14:paraId="4F5E831D"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BAME employees: 58.7% of 92</w:t>
            </w:r>
          </w:p>
          <w:p w14:paraId="77D8E206"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White employees: 68.3% of 2,070</w:t>
            </w:r>
          </w:p>
        </w:tc>
      </w:tr>
      <w:tr w:rsidR="000E4C0A" w:rsidRPr="000E4C0A" w14:paraId="6F4A72F5" w14:textId="77777777" w:rsidTr="000E4C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985" w:type="dxa"/>
            <w:shd w:val="clear" w:color="auto" w:fill="D9D9D9" w:themeFill="background1" w:themeFillShade="D9"/>
          </w:tcPr>
          <w:p w14:paraId="52D49F5A" w14:textId="3CD2E475" w:rsidR="000E4C0A" w:rsidRPr="000E4C0A" w:rsidRDefault="000E4C0A" w:rsidP="000E4C0A">
            <w:pPr>
              <w:autoSpaceDE w:val="0"/>
              <w:autoSpaceDN w:val="0"/>
              <w:adjustRightInd w:val="0"/>
              <w:rPr>
                <w:rFonts w:asciiTheme="minorHAnsi" w:hAnsiTheme="minorHAnsi" w:cstheme="minorHAnsi"/>
              </w:rPr>
            </w:pPr>
            <w:r w:rsidRPr="000E4C0A">
              <w:rPr>
                <w:rFonts w:asciiTheme="minorHAnsi" w:hAnsiTheme="minorHAnsi" w:cstheme="minorHAnsi"/>
              </w:rPr>
              <w:t>8.</w:t>
            </w:r>
            <w:r>
              <w:rPr>
                <w:rFonts w:asciiTheme="minorHAnsi" w:hAnsiTheme="minorHAnsi" w:cstheme="minorHAnsi"/>
              </w:rPr>
              <w:t xml:space="preserve"> </w:t>
            </w:r>
            <w:r w:rsidRPr="000E4C0A">
              <w:rPr>
                <w:rFonts w:asciiTheme="minorHAnsi" w:hAnsiTheme="minorHAnsi" w:cstheme="minorHAnsi"/>
              </w:rPr>
              <w:t>In the last 12 months, have you personally experienced discrimination at work from any of the following?</w:t>
            </w:r>
          </w:p>
          <w:p w14:paraId="41F21D0E" w14:textId="77777777" w:rsidR="000E4C0A" w:rsidRPr="000E4C0A" w:rsidRDefault="000E4C0A" w:rsidP="000E4C0A">
            <w:pPr>
              <w:pStyle w:val="NoSpacing"/>
              <w:numPr>
                <w:ilvl w:val="0"/>
                <w:numId w:val="3"/>
              </w:numPr>
              <w:ind w:left="317" w:hanging="317"/>
              <w:rPr>
                <w:rFonts w:asciiTheme="minorHAnsi" w:hAnsiTheme="minorHAnsi" w:cstheme="minorHAnsi"/>
              </w:rPr>
            </w:pPr>
            <w:r w:rsidRPr="000E4C0A">
              <w:rPr>
                <w:rFonts w:asciiTheme="minorHAnsi" w:hAnsiTheme="minorHAnsi" w:cstheme="minorHAnsi"/>
              </w:rPr>
              <w:t>Manager/team leader or other employees.</w:t>
            </w:r>
          </w:p>
          <w:p w14:paraId="0051885E" w14:textId="77777777" w:rsidR="000E4C0A" w:rsidRPr="000E4C0A" w:rsidRDefault="000E4C0A" w:rsidP="00BA692C">
            <w:pPr>
              <w:pStyle w:val="NoSpacing"/>
              <w:jc w:val="both"/>
              <w:rPr>
                <w:rFonts w:asciiTheme="minorHAnsi" w:hAnsiTheme="minorHAnsi" w:cstheme="minorHAnsi"/>
                <w:sz w:val="16"/>
                <w:szCs w:val="16"/>
              </w:rPr>
            </w:pPr>
          </w:p>
        </w:tc>
        <w:tc>
          <w:tcPr>
            <w:tcW w:w="4394" w:type="dxa"/>
            <w:shd w:val="clear" w:color="auto" w:fill="DEEAF6" w:themeFill="accent5" w:themeFillTint="33"/>
            <w:vAlign w:val="center"/>
          </w:tcPr>
          <w:p w14:paraId="56C87CCE"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BME staff: 11.2%</w:t>
            </w:r>
          </w:p>
          <w:p w14:paraId="6468DF46"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White staff: 4.1%</w:t>
            </w:r>
          </w:p>
        </w:tc>
        <w:tc>
          <w:tcPr>
            <w:tcW w:w="9497" w:type="dxa"/>
            <w:gridSpan w:val="3"/>
            <w:shd w:val="clear" w:color="auto" w:fill="DEEAF6" w:themeFill="accent5" w:themeFillTint="33"/>
            <w:vAlign w:val="center"/>
          </w:tcPr>
          <w:p w14:paraId="264A649C"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BAME employees 8.7% of 92</w:t>
            </w:r>
          </w:p>
          <w:p w14:paraId="0F0288E5"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White employees: 4.4% of 2,085</w:t>
            </w:r>
          </w:p>
        </w:tc>
      </w:tr>
      <w:tr w:rsidR="000E4C0A" w:rsidRPr="000E4C0A" w14:paraId="7A806F3B" w14:textId="77777777" w:rsidTr="000E4C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985" w:type="dxa"/>
            <w:shd w:val="clear" w:color="auto" w:fill="D9D9D9" w:themeFill="background1" w:themeFillShade="D9"/>
          </w:tcPr>
          <w:p w14:paraId="162922EF" w14:textId="01933EF7" w:rsidR="000E4C0A" w:rsidRPr="000E4C0A" w:rsidRDefault="000E4C0A" w:rsidP="000E4C0A">
            <w:pPr>
              <w:pStyle w:val="NoSpacing"/>
              <w:rPr>
                <w:rFonts w:asciiTheme="minorHAnsi" w:hAnsiTheme="minorHAnsi" w:cstheme="minorHAnsi"/>
              </w:rPr>
            </w:pPr>
            <w:r w:rsidRPr="000E4C0A">
              <w:rPr>
                <w:rFonts w:asciiTheme="minorHAnsi" w:hAnsiTheme="minorHAnsi" w:cstheme="minorHAnsi"/>
              </w:rPr>
              <w:t>9.</w:t>
            </w:r>
            <w:r w:rsidRPr="000E4C0A">
              <w:rPr>
                <w:rFonts w:asciiTheme="minorHAnsi" w:hAnsiTheme="minorHAnsi" w:cstheme="minorHAnsi"/>
              </w:rPr>
              <w:t xml:space="preserve"> </w:t>
            </w:r>
            <w:r w:rsidRPr="000E4C0A">
              <w:rPr>
                <w:rFonts w:asciiTheme="minorHAnsi" w:hAnsiTheme="minorHAnsi" w:cstheme="minorHAnsi"/>
              </w:rPr>
              <w:t>Percentage difference between the organisations’ Board voting membership and its overall workforce disaggregated:</w:t>
            </w:r>
          </w:p>
          <w:p w14:paraId="432DDD1A" w14:textId="77777777" w:rsidR="000E4C0A" w:rsidRPr="000E4C0A" w:rsidRDefault="000E4C0A" w:rsidP="000E4C0A">
            <w:pPr>
              <w:pStyle w:val="ListParagraph"/>
              <w:numPr>
                <w:ilvl w:val="0"/>
                <w:numId w:val="2"/>
              </w:numPr>
              <w:autoSpaceDE w:val="0"/>
              <w:autoSpaceDN w:val="0"/>
              <w:adjustRightInd w:val="0"/>
              <w:ind w:left="317" w:hanging="317"/>
              <w:rPr>
                <w:rFonts w:asciiTheme="minorHAnsi" w:hAnsiTheme="minorHAnsi" w:cstheme="minorHAnsi"/>
              </w:rPr>
            </w:pPr>
            <w:r w:rsidRPr="000E4C0A">
              <w:rPr>
                <w:rFonts w:asciiTheme="minorHAnsi" w:hAnsiTheme="minorHAnsi" w:cstheme="minorHAnsi"/>
              </w:rPr>
              <w:t>By voting membership of the Board</w:t>
            </w:r>
          </w:p>
          <w:p w14:paraId="518803B7" w14:textId="77777777" w:rsidR="000E4C0A" w:rsidRPr="000E4C0A" w:rsidRDefault="000E4C0A" w:rsidP="000E4C0A">
            <w:pPr>
              <w:pStyle w:val="ListParagraph"/>
              <w:numPr>
                <w:ilvl w:val="0"/>
                <w:numId w:val="2"/>
              </w:numPr>
              <w:autoSpaceDE w:val="0"/>
              <w:autoSpaceDN w:val="0"/>
              <w:adjustRightInd w:val="0"/>
              <w:ind w:left="317" w:hanging="317"/>
              <w:rPr>
                <w:rFonts w:asciiTheme="minorHAnsi" w:hAnsiTheme="minorHAnsi" w:cstheme="minorHAnsi"/>
              </w:rPr>
            </w:pPr>
            <w:r w:rsidRPr="000E4C0A">
              <w:rPr>
                <w:rFonts w:asciiTheme="minorHAnsi" w:hAnsiTheme="minorHAnsi" w:cstheme="minorHAnsi"/>
              </w:rPr>
              <w:t>By executive membership of the Board</w:t>
            </w:r>
          </w:p>
          <w:p w14:paraId="6A035214" w14:textId="77777777" w:rsidR="000E4C0A" w:rsidRPr="000E4C0A" w:rsidRDefault="000E4C0A" w:rsidP="00BA692C">
            <w:pPr>
              <w:pStyle w:val="NoSpacing"/>
              <w:jc w:val="both"/>
              <w:rPr>
                <w:rFonts w:asciiTheme="minorHAnsi" w:hAnsiTheme="minorHAnsi" w:cstheme="minorHAnsi"/>
                <w:sz w:val="16"/>
                <w:szCs w:val="16"/>
              </w:rPr>
            </w:pPr>
          </w:p>
        </w:tc>
        <w:tc>
          <w:tcPr>
            <w:tcW w:w="4394" w:type="dxa"/>
            <w:shd w:val="clear" w:color="auto" w:fill="DEEAF6" w:themeFill="accent5" w:themeFillTint="33"/>
            <w:vAlign w:val="center"/>
          </w:tcPr>
          <w:p w14:paraId="2B4A50A9"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Board voting membership was 13.3% BME</w:t>
            </w:r>
          </w:p>
          <w:p w14:paraId="5D051FC9"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Overall workforce was 6.9% BME</w:t>
            </w:r>
          </w:p>
          <w:p w14:paraId="28A14B4C"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Percentage difference 5%</w:t>
            </w:r>
          </w:p>
          <w:p w14:paraId="4ED25DF4" w14:textId="77777777" w:rsidR="000E4C0A" w:rsidRPr="000E4C0A" w:rsidRDefault="000E4C0A" w:rsidP="000E4C0A">
            <w:pPr>
              <w:pStyle w:val="NoSpacing"/>
              <w:jc w:val="center"/>
              <w:rPr>
                <w:rFonts w:asciiTheme="minorHAnsi" w:hAnsiTheme="minorHAnsi" w:cstheme="minorHAnsi"/>
                <w:sz w:val="22"/>
                <w:szCs w:val="22"/>
              </w:rPr>
            </w:pPr>
          </w:p>
          <w:p w14:paraId="776B2E15"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Board executive membership was 11.1% BME</w:t>
            </w:r>
          </w:p>
          <w:p w14:paraId="65D3D0AA"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Overall workforce was 6.9% BME</w:t>
            </w:r>
          </w:p>
          <w:p w14:paraId="306D8625" w14:textId="06ABA809"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Percentage difference 4%</w:t>
            </w:r>
          </w:p>
        </w:tc>
        <w:tc>
          <w:tcPr>
            <w:tcW w:w="9497" w:type="dxa"/>
            <w:gridSpan w:val="3"/>
            <w:shd w:val="clear" w:color="auto" w:fill="DEEAF6" w:themeFill="accent5" w:themeFillTint="33"/>
            <w:vAlign w:val="center"/>
          </w:tcPr>
          <w:p w14:paraId="74C01454"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 xml:space="preserve">DCHS’ </w:t>
            </w:r>
            <w:r w:rsidRPr="000E4C0A">
              <w:rPr>
                <w:rFonts w:asciiTheme="minorHAnsi" w:hAnsiTheme="minorHAnsi" w:cstheme="minorHAnsi"/>
                <w:bCs/>
                <w:sz w:val="22"/>
                <w:szCs w:val="22"/>
              </w:rPr>
              <w:t>Board BAME voting membership was 7.1</w:t>
            </w:r>
            <w:r w:rsidRPr="000E4C0A">
              <w:rPr>
                <w:rFonts w:asciiTheme="minorHAnsi" w:hAnsiTheme="minorHAnsi" w:cstheme="minorHAnsi"/>
                <w:sz w:val="22"/>
                <w:szCs w:val="22"/>
              </w:rPr>
              <w:t>%</w:t>
            </w:r>
          </w:p>
          <w:p w14:paraId="07D8C105"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Trust’s overall BAME workforce was 5.96%</w:t>
            </w:r>
          </w:p>
          <w:p w14:paraId="2171A2E0"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Percentage difference: 1.14%</w:t>
            </w:r>
          </w:p>
          <w:p w14:paraId="1F823ED9" w14:textId="77777777" w:rsidR="000E4C0A" w:rsidRPr="000E4C0A" w:rsidRDefault="000E4C0A" w:rsidP="000E4C0A">
            <w:pPr>
              <w:pStyle w:val="NoSpacing"/>
              <w:jc w:val="center"/>
              <w:rPr>
                <w:rFonts w:asciiTheme="minorHAnsi" w:hAnsiTheme="minorHAnsi" w:cstheme="minorHAnsi"/>
                <w:color w:val="FF0000"/>
                <w:sz w:val="22"/>
                <w:szCs w:val="22"/>
              </w:rPr>
            </w:pPr>
          </w:p>
          <w:p w14:paraId="62B1CBA5"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 xml:space="preserve">BAME executive </w:t>
            </w:r>
            <w:r w:rsidRPr="000E4C0A">
              <w:rPr>
                <w:rFonts w:asciiTheme="minorHAnsi" w:hAnsiTheme="minorHAnsi" w:cstheme="minorHAnsi"/>
                <w:bCs/>
                <w:sz w:val="22"/>
                <w:szCs w:val="22"/>
              </w:rPr>
              <w:t xml:space="preserve">membership was </w:t>
            </w:r>
            <w:r w:rsidRPr="000E4C0A">
              <w:rPr>
                <w:rFonts w:asciiTheme="minorHAnsi" w:hAnsiTheme="minorHAnsi" w:cstheme="minorHAnsi"/>
                <w:sz w:val="22"/>
                <w:szCs w:val="22"/>
              </w:rPr>
              <w:t>11.1%</w:t>
            </w:r>
          </w:p>
          <w:p w14:paraId="59DE575A" w14:textId="77777777" w:rsidR="000E4C0A" w:rsidRPr="000E4C0A" w:rsidRDefault="000E4C0A" w:rsidP="000E4C0A">
            <w:pPr>
              <w:pStyle w:val="NoSpacing"/>
              <w:jc w:val="center"/>
              <w:rPr>
                <w:rFonts w:asciiTheme="minorHAnsi" w:hAnsiTheme="minorHAnsi" w:cstheme="minorHAnsi"/>
                <w:sz w:val="22"/>
                <w:szCs w:val="22"/>
              </w:rPr>
            </w:pPr>
            <w:r w:rsidRPr="000E4C0A">
              <w:rPr>
                <w:rFonts w:asciiTheme="minorHAnsi" w:hAnsiTheme="minorHAnsi" w:cstheme="minorHAnsi"/>
                <w:sz w:val="22"/>
                <w:szCs w:val="22"/>
              </w:rPr>
              <w:t>Trust’s overall BME workforce was 5.96%</w:t>
            </w:r>
          </w:p>
          <w:p w14:paraId="41C9EC70" w14:textId="77777777" w:rsidR="000E4C0A" w:rsidRPr="000E4C0A" w:rsidRDefault="000E4C0A" w:rsidP="000E4C0A">
            <w:pPr>
              <w:jc w:val="center"/>
              <w:rPr>
                <w:rFonts w:asciiTheme="minorHAnsi" w:hAnsiTheme="minorHAnsi" w:cstheme="minorHAnsi"/>
                <w:b/>
                <w:color w:val="FF0000"/>
                <w:sz w:val="22"/>
                <w:szCs w:val="22"/>
              </w:rPr>
            </w:pPr>
            <w:r w:rsidRPr="000E4C0A">
              <w:rPr>
                <w:rFonts w:asciiTheme="minorHAnsi" w:hAnsiTheme="minorHAnsi" w:cstheme="minorHAnsi"/>
                <w:sz w:val="22"/>
                <w:szCs w:val="22"/>
              </w:rPr>
              <w:t>Percentage difference: 5.1%</w:t>
            </w:r>
          </w:p>
        </w:tc>
      </w:tr>
    </w:tbl>
    <w:p w14:paraId="2C3835E0" w14:textId="77777777" w:rsidR="000E4C0A" w:rsidRPr="000E4C0A" w:rsidRDefault="000E4C0A" w:rsidP="000E4C0A">
      <w:pPr>
        <w:rPr>
          <w:rFonts w:cstheme="minorHAnsi"/>
        </w:rPr>
      </w:pPr>
    </w:p>
    <w:p w14:paraId="0377AD91" w14:textId="77777777" w:rsidR="000E4C0A" w:rsidRPr="000E4C0A" w:rsidRDefault="000E4C0A" w:rsidP="000E4C0A">
      <w:pPr>
        <w:rPr>
          <w:rFonts w:cstheme="minorHAnsi"/>
        </w:rPr>
      </w:pPr>
    </w:p>
    <w:p w14:paraId="214A4954" w14:textId="77777777" w:rsidR="000E4C0A" w:rsidRPr="000E4C0A" w:rsidRDefault="000E4C0A" w:rsidP="000E4C0A">
      <w:pPr>
        <w:rPr>
          <w:rFonts w:cstheme="minorHAnsi"/>
        </w:rPr>
      </w:pPr>
    </w:p>
    <w:p w14:paraId="5340D814" w14:textId="77777777" w:rsidR="00535030" w:rsidRPr="000E4C0A" w:rsidRDefault="00535030">
      <w:pPr>
        <w:rPr>
          <w:rFonts w:cstheme="minorHAnsi"/>
        </w:rPr>
      </w:pPr>
    </w:p>
    <w:sectPr w:rsidR="00535030" w:rsidRPr="000E4C0A" w:rsidSect="00AA09AA">
      <w:headerReference w:type="first" r:id="rId13"/>
      <w:pgSz w:w="16838" w:h="11906" w:orient="landscape"/>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A3D73A" w14:textId="77777777" w:rsidR="00837941" w:rsidRDefault="00837941" w:rsidP="00AA09AA">
      <w:pPr>
        <w:spacing w:after="0" w:line="240" w:lineRule="auto"/>
      </w:pPr>
      <w:r>
        <w:separator/>
      </w:r>
    </w:p>
  </w:endnote>
  <w:endnote w:type="continuationSeparator" w:id="0">
    <w:p w14:paraId="7C369DCB" w14:textId="77777777" w:rsidR="00837941" w:rsidRDefault="00837941" w:rsidP="00AA09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1B52B5" w14:textId="77777777" w:rsidR="00837941" w:rsidRDefault="00837941" w:rsidP="00AA09AA">
      <w:pPr>
        <w:spacing w:after="0" w:line="240" w:lineRule="auto"/>
      </w:pPr>
      <w:r>
        <w:separator/>
      </w:r>
    </w:p>
  </w:footnote>
  <w:footnote w:type="continuationSeparator" w:id="0">
    <w:p w14:paraId="519A128D" w14:textId="77777777" w:rsidR="00837941" w:rsidRDefault="00837941" w:rsidP="00AA09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DFB85" w14:textId="7C2B3924" w:rsidR="00AA09AA" w:rsidRDefault="00AA09AA">
    <w:pPr>
      <w:pStyle w:val="Header"/>
    </w:pPr>
    <w:r>
      <w:rPr>
        <w:noProof/>
        <w14:ligatures w14:val="standardContextual"/>
      </w:rPr>
      <w:drawing>
        <wp:anchor distT="0" distB="0" distL="114300" distR="114300" simplePos="0" relativeHeight="251658240" behindDoc="1" locked="0" layoutInCell="1" allowOverlap="1" wp14:anchorId="523FE18E" wp14:editId="6B1F3E04">
          <wp:simplePos x="0" y="0"/>
          <wp:positionH relativeFrom="column">
            <wp:posOffset>6877050</wp:posOffset>
          </wp:positionH>
          <wp:positionV relativeFrom="paragraph">
            <wp:posOffset>-49530</wp:posOffset>
          </wp:positionV>
          <wp:extent cx="1820545" cy="722630"/>
          <wp:effectExtent l="0" t="0" r="8255" b="1270"/>
          <wp:wrapNone/>
          <wp:docPr id="142302351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3023517" name="Picture 1423023517"/>
                  <pic:cNvPicPr/>
                </pic:nvPicPr>
                <pic:blipFill>
                  <a:blip r:embed="rId1">
                    <a:extLst>
                      <a:ext uri="{28A0092B-C50C-407E-A947-70E740481C1C}">
                        <a14:useLocalDpi xmlns:a14="http://schemas.microsoft.com/office/drawing/2010/main" val="0"/>
                      </a:ext>
                    </a:extLst>
                  </a:blip>
                  <a:stretch>
                    <a:fillRect/>
                  </a:stretch>
                </pic:blipFill>
                <pic:spPr>
                  <a:xfrm>
                    <a:off x="0" y="0"/>
                    <a:ext cx="1820545" cy="722630"/>
                  </a:xfrm>
                  <a:prstGeom prst="rect">
                    <a:avLst/>
                  </a:prstGeom>
                </pic:spPr>
              </pic:pic>
            </a:graphicData>
          </a:graphic>
          <wp14:sizeRelH relativeFrom="page">
            <wp14:pctWidth>0</wp14:pctWidth>
          </wp14:sizeRelH>
          <wp14:sizeRelV relativeFrom="page">
            <wp14:pctHeight>0</wp14:pctHeight>
          </wp14:sizeRelV>
        </wp:anchor>
      </w:drawing>
    </w:r>
    <w:r>
      <w:rPr>
        <w:noProof/>
        <w14:ligatures w14:val="standardContextual"/>
      </w:rPr>
      <w:drawing>
        <wp:inline distT="0" distB="0" distL="0" distR="0" wp14:anchorId="0053C32C" wp14:editId="100BAE2E">
          <wp:extent cx="1473276" cy="406421"/>
          <wp:effectExtent l="0" t="0" r="0" b="0"/>
          <wp:docPr id="154756287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7562877" name="Picture 1547562877"/>
                  <pic:cNvPicPr/>
                </pic:nvPicPr>
                <pic:blipFill>
                  <a:blip r:embed="rId2">
                    <a:extLst>
                      <a:ext uri="{28A0092B-C50C-407E-A947-70E740481C1C}">
                        <a14:useLocalDpi xmlns:a14="http://schemas.microsoft.com/office/drawing/2010/main" val="0"/>
                      </a:ext>
                    </a:extLst>
                  </a:blip>
                  <a:stretch>
                    <a:fillRect/>
                  </a:stretch>
                </pic:blipFill>
                <pic:spPr>
                  <a:xfrm>
                    <a:off x="0" y="0"/>
                    <a:ext cx="1473276" cy="406421"/>
                  </a:xfrm>
                  <a:prstGeom prst="rect">
                    <a:avLst/>
                  </a:prstGeom>
                </pic:spPr>
              </pic:pic>
            </a:graphicData>
          </a:graphic>
        </wp:inline>
      </w:drawing>
    </w:r>
  </w:p>
  <w:p w14:paraId="1930B4D6" w14:textId="77777777" w:rsidR="00AA09AA" w:rsidRDefault="00AA09AA">
    <w:pPr>
      <w:pStyle w:val="Header"/>
    </w:pPr>
  </w:p>
  <w:p w14:paraId="4B3B40CB" w14:textId="77777777" w:rsidR="00AA09AA" w:rsidRDefault="00AA09AA">
    <w:pPr>
      <w:pStyle w:val="Header"/>
    </w:pPr>
  </w:p>
  <w:p w14:paraId="77938981" w14:textId="77777777" w:rsidR="00AA09AA" w:rsidRDefault="00AA09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140858"/>
    <w:multiLevelType w:val="multilevel"/>
    <w:tmpl w:val="AEF8CAE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31AB3AE7"/>
    <w:multiLevelType w:val="hybridMultilevel"/>
    <w:tmpl w:val="C6F8D5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66535826"/>
    <w:multiLevelType w:val="hybridMultilevel"/>
    <w:tmpl w:val="DD802D4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516189589">
    <w:abstractNumId w:val="0"/>
  </w:num>
  <w:num w:numId="2" w16cid:durableId="460195429">
    <w:abstractNumId w:val="2"/>
  </w:num>
  <w:num w:numId="3" w16cid:durableId="9355579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4C0A"/>
    <w:rsid w:val="000E4C0A"/>
    <w:rsid w:val="002C6126"/>
    <w:rsid w:val="00507C80"/>
    <w:rsid w:val="00535030"/>
    <w:rsid w:val="00837941"/>
    <w:rsid w:val="00AA09AA"/>
    <w:rsid w:val="00E32AF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17EA51"/>
  <w15:chartTrackingRefBased/>
  <w15:docId w15:val="{AED5EF78-39C1-4B6E-BCC4-9AF308948B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4C0A"/>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F5 List Paragraph,List Paragraph1,Dot pt,No Spacing1,List Paragraph Char Char Char,Indicator Text,Colorful List - Accent 11,Numbered Para 1,Bullet 1,Bullet Points,MAIN CONTENT,List Paragraph12,Bullet Style,List Paragraph2,Normal numbered"/>
    <w:basedOn w:val="Normal"/>
    <w:link w:val="ListParagraphChar"/>
    <w:uiPriority w:val="34"/>
    <w:qFormat/>
    <w:rsid w:val="000E4C0A"/>
    <w:pPr>
      <w:ind w:left="720"/>
      <w:contextualSpacing/>
    </w:pPr>
  </w:style>
  <w:style w:type="character" w:customStyle="1" w:styleId="ListParagraphChar">
    <w:name w:val="List Paragraph Char"/>
    <w:aliases w:val="F5 List Paragraph Char,List Paragraph1 Char,Dot pt Char,No Spacing1 Char,List Paragraph Char Char Char Char,Indicator Text Char,Colorful List - Accent 11 Char,Numbered Para 1 Char,Bullet 1 Char,Bullet Points Char,MAIN CONTENT Char"/>
    <w:link w:val="ListParagraph"/>
    <w:uiPriority w:val="34"/>
    <w:qFormat/>
    <w:locked/>
    <w:rsid w:val="000E4C0A"/>
    <w:rPr>
      <w:kern w:val="0"/>
      <w14:ligatures w14:val="none"/>
    </w:rPr>
  </w:style>
  <w:style w:type="character" w:styleId="Hyperlink">
    <w:name w:val="Hyperlink"/>
    <w:basedOn w:val="DefaultParagraphFont"/>
    <w:uiPriority w:val="99"/>
    <w:unhideWhenUsed/>
    <w:rsid w:val="000E4C0A"/>
    <w:rPr>
      <w:color w:val="0563C1" w:themeColor="hyperlink"/>
      <w:u w:val="single"/>
    </w:rPr>
  </w:style>
  <w:style w:type="table" w:styleId="TableGrid">
    <w:name w:val="Table Grid"/>
    <w:basedOn w:val="TableNormal"/>
    <w:uiPriority w:val="39"/>
    <w:rsid w:val="000E4C0A"/>
    <w:pPr>
      <w:spacing w:after="0" w:line="240" w:lineRule="auto"/>
    </w:pPr>
    <w:rPr>
      <w:rFonts w:ascii="Times New Roman" w:eastAsia="Times New Roman" w:hAnsi="Times New Roman" w:cs="Times New Roman"/>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locked/>
    <w:rsid w:val="000E4C0A"/>
  </w:style>
  <w:style w:type="paragraph" w:styleId="NoSpacing">
    <w:name w:val="No Spacing"/>
    <w:link w:val="NoSpacingChar"/>
    <w:uiPriority w:val="1"/>
    <w:qFormat/>
    <w:rsid w:val="000E4C0A"/>
    <w:pPr>
      <w:spacing w:after="0" w:line="240" w:lineRule="auto"/>
    </w:pPr>
  </w:style>
  <w:style w:type="paragraph" w:styleId="Header">
    <w:name w:val="header"/>
    <w:basedOn w:val="Normal"/>
    <w:link w:val="HeaderChar"/>
    <w:uiPriority w:val="99"/>
    <w:unhideWhenUsed/>
    <w:rsid w:val="00AA09AA"/>
    <w:pPr>
      <w:tabs>
        <w:tab w:val="center" w:pos="4513"/>
        <w:tab w:val="right" w:pos="9026"/>
      </w:tabs>
      <w:spacing w:after="0" w:line="240" w:lineRule="auto"/>
    </w:pPr>
  </w:style>
  <w:style w:type="character" w:customStyle="1" w:styleId="HeaderChar">
    <w:name w:val="Header Char"/>
    <w:basedOn w:val="DefaultParagraphFont"/>
    <w:link w:val="Header"/>
    <w:uiPriority w:val="99"/>
    <w:rsid w:val="00AA09AA"/>
    <w:rPr>
      <w:kern w:val="0"/>
      <w14:ligatures w14:val="none"/>
    </w:rPr>
  </w:style>
  <w:style w:type="paragraph" w:styleId="Footer">
    <w:name w:val="footer"/>
    <w:basedOn w:val="Normal"/>
    <w:link w:val="FooterChar"/>
    <w:uiPriority w:val="99"/>
    <w:unhideWhenUsed/>
    <w:rsid w:val="00AA09AA"/>
    <w:pPr>
      <w:tabs>
        <w:tab w:val="center" w:pos="4513"/>
        <w:tab w:val="right" w:pos="9026"/>
      </w:tabs>
      <w:spacing w:after="0" w:line="240" w:lineRule="auto"/>
    </w:pPr>
  </w:style>
  <w:style w:type="character" w:customStyle="1" w:styleId="FooterChar">
    <w:name w:val="Footer Char"/>
    <w:basedOn w:val="DefaultParagraphFont"/>
    <w:link w:val="Footer"/>
    <w:uiPriority w:val="99"/>
    <w:rsid w:val="00AA09AA"/>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england.nhs.uk/about/equality/equality-hub/equality-standard/" TargetMode="External"/><Relationship Id="rId12" Type="http://schemas.openxmlformats.org/officeDocument/2006/relationships/image" Target="media/image5.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4</Pages>
  <Words>656</Words>
  <Characters>3744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4392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Rayyes Sarah (DCHS) Derbyshire Community Health Services</dc:creator>
  <cp:keywords/>
  <dc:description/>
  <cp:lastModifiedBy>Rayyes Sarah (DCHS) Derbyshire Community Health Services</cp:lastModifiedBy>
  <cp:revision>1</cp:revision>
  <dcterms:created xsi:type="dcterms:W3CDTF">2024-10-22T10:32:00Z</dcterms:created>
  <dcterms:modified xsi:type="dcterms:W3CDTF">2024-10-22T10:49:00Z</dcterms:modified>
</cp:coreProperties>
</file>